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jc w:val="center"/>
        <w:rPr>
          <w:rFonts w:asciiTheme="minorEastAsia" w:hAnsiTheme="minorEastAsia"/>
          <w:sz w:val="32"/>
          <w:szCs w:val="24"/>
        </w:rPr>
      </w:pPr>
      <w:bookmarkStart w:id="0" w:name="_GoBack"/>
      <w:bookmarkEnd w:id="0"/>
      <w:r>
        <w:rPr>
          <w:rFonts w:hint="eastAsia" w:asciiTheme="minorEastAsia" w:hAnsiTheme="minorEastAsia"/>
          <w:sz w:val="32"/>
          <w:szCs w:val="24"/>
        </w:rPr>
        <w:t>国家安全监管总局办公厅关于印发</w:t>
      </w:r>
    </w:p>
    <w:p>
      <w:pPr>
        <w:ind w:firstLine="640" w:firstLineChars="200"/>
        <w:jc w:val="center"/>
        <w:rPr>
          <w:rFonts w:asciiTheme="minorEastAsia" w:hAnsiTheme="minorEastAsia"/>
          <w:sz w:val="32"/>
          <w:szCs w:val="24"/>
        </w:rPr>
      </w:pPr>
      <w:r>
        <w:rPr>
          <w:rFonts w:hint="eastAsia" w:asciiTheme="minorEastAsia" w:hAnsiTheme="minorEastAsia"/>
          <w:sz w:val="32"/>
          <w:szCs w:val="24"/>
        </w:rPr>
        <w:t>用人单位职业病危害告知与警示标识管理规范的通知</w:t>
      </w:r>
    </w:p>
    <w:p>
      <w:pPr>
        <w:spacing w:before="156" w:beforeLines="50" w:after="156" w:afterLines="50" w:line="360" w:lineRule="auto"/>
        <w:ind w:firstLine="480" w:firstLineChars="200"/>
        <w:jc w:val="center"/>
        <w:rPr>
          <w:rFonts w:asciiTheme="minorEastAsia" w:hAnsiTheme="minorEastAsia"/>
          <w:sz w:val="24"/>
          <w:szCs w:val="24"/>
        </w:rPr>
      </w:pPr>
      <w:r>
        <w:rPr>
          <w:rFonts w:hint="eastAsia" w:asciiTheme="minorEastAsia" w:hAnsiTheme="minorEastAsia"/>
          <w:sz w:val="24"/>
          <w:szCs w:val="24"/>
        </w:rPr>
        <w:t>安监总厅安健〔2014〕111号</w:t>
      </w:r>
    </w:p>
    <w:p>
      <w:pPr>
        <w:spacing w:before="156" w:beforeLines="50" w:after="156" w:afterLines="50" w:line="360" w:lineRule="auto"/>
        <w:jc w:val="left"/>
        <w:rPr>
          <w:rFonts w:asciiTheme="minorEastAsia" w:hAnsiTheme="minorEastAsia"/>
          <w:sz w:val="24"/>
          <w:szCs w:val="24"/>
        </w:rPr>
      </w:pPr>
      <w:r>
        <w:rPr>
          <w:rFonts w:hint="eastAsia" w:asciiTheme="minorEastAsia" w:hAnsiTheme="minorEastAsia"/>
          <w:sz w:val="24"/>
          <w:szCs w:val="24"/>
        </w:rPr>
        <w:t>各省、自治区、直辖市及新疆生产建设兵团安全生产监督管理局：</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为指导和规范用人单位做好职业病危害告知与警示标识管理工作，依照《中华人民共和国职业病防治法》、《工作场所职业卫生监督管理规定》（国家安全监管总局令第47号）等法律规章，国家安全监管总局制定了《用人单位职业病危害告知与警示标识管理规范》（以下简称《规范》），现印发给你们，请认真贯彻落实。</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职业病危害告知与警示标识管理工作是职业卫生管理的一项基础性工作，对于提高劳动者的自我防护意识、提升用人单位职业病防治水平具有重要作用。各地区要高度重视，认真安排部署，做好《规范》的宣传和落实工作。</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各单位要通过多种方式组织用人单位学习《规范》，指导用人单位对职业病危害告知与警示标识管理工作进行一次全面自查，并按照《规范》要求完善职业病危害告知内容及档案材料，设置和维护好警示标识，保障劳动者的职业健康。</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要把贯彻落实《规范》要求作为职业卫生监督执法的重要内容，指导用人单位落实职业病危害告知与警示标识管理各项要求，对拒不整改或整改不到位的用人单位，依法予以惩处，确保按期完成《国家职业病防治规划（2009-2015年）》确定的2015年职业病危害告知率和警示标识设置率达到90%以上的目标。</w:t>
      </w:r>
    </w:p>
    <w:p>
      <w:pPr>
        <w:spacing w:before="156" w:beforeLines="50" w:after="156" w:afterLines="50"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国家安全监管总局办公厅</w:t>
      </w:r>
    </w:p>
    <w:p>
      <w:pPr>
        <w:spacing w:before="156" w:beforeLines="50" w:after="156" w:afterLines="50"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2014年11月13日</w:t>
      </w:r>
    </w:p>
    <w:p>
      <w:pPr>
        <w:widowControl/>
        <w:jc w:val="left"/>
        <w:rPr>
          <w:rFonts w:asciiTheme="minorEastAsia" w:hAnsiTheme="minorEastAsia"/>
          <w:sz w:val="24"/>
          <w:szCs w:val="24"/>
        </w:rPr>
      </w:pPr>
      <w:r>
        <w:rPr>
          <w:rFonts w:asciiTheme="minorEastAsia" w:hAnsiTheme="minorEastAsia"/>
          <w:sz w:val="24"/>
          <w:szCs w:val="24"/>
        </w:rPr>
        <w:br w:type="page"/>
      </w:r>
    </w:p>
    <w:p>
      <w:pPr>
        <w:spacing w:before="156" w:beforeLines="50" w:after="156" w:afterLines="50" w:line="360" w:lineRule="auto"/>
        <w:ind w:firstLine="640" w:firstLineChars="200"/>
        <w:jc w:val="center"/>
        <w:rPr>
          <w:rFonts w:asciiTheme="minorEastAsia" w:hAnsiTheme="minorEastAsia"/>
          <w:sz w:val="32"/>
          <w:szCs w:val="32"/>
        </w:rPr>
      </w:pPr>
      <w:r>
        <w:rPr>
          <w:rFonts w:hint="eastAsia" w:asciiTheme="minorEastAsia" w:hAnsiTheme="minorEastAsia"/>
          <w:sz w:val="32"/>
          <w:szCs w:val="32"/>
        </w:rPr>
        <w:t>用人单位职业病危害告知与警示标识管理规范</w:t>
      </w:r>
    </w:p>
    <w:p>
      <w:pPr>
        <w:spacing w:before="156" w:beforeLines="50" w:after="156" w:afterLines="50" w:line="360" w:lineRule="auto"/>
        <w:jc w:val="center"/>
        <w:rPr>
          <w:rFonts w:asciiTheme="minorEastAsia" w:hAnsiTheme="minorEastAsia"/>
          <w:b/>
          <w:sz w:val="24"/>
          <w:szCs w:val="24"/>
        </w:rPr>
      </w:pPr>
      <w:r>
        <w:rPr>
          <w:rFonts w:hint="eastAsia" w:asciiTheme="minorEastAsia" w:hAnsiTheme="minorEastAsia"/>
          <w:b/>
          <w:sz w:val="24"/>
          <w:szCs w:val="24"/>
        </w:rPr>
        <w:t xml:space="preserve">第一章 </w:t>
      </w:r>
      <w:r>
        <w:rPr>
          <w:rFonts w:asciiTheme="minorEastAsia" w:hAnsiTheme="minorEastAsia"/>
          <w:b/>
          <w:sz w:val="24"/>
          <w:szCs w:val="24"/>
        </w:rPr>
        <w:t xml:space="preserve"> </w:t>
      </w:r>
      <w:r>
        <w:rPr>
          <w:rFonts w:hint="eastAsia" w:asciiTheme="minorEastAsia" w:hAnsiTheme="minorEastAsia"/>
          <w:b/>
          <w:sz w:val="24"/>
          <w:szCs w:val="24"/>
        </w:rPr>
        <w:t>总则</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第一条 为规范用人单位职业病危害告知与警示标识管理工作，预防和控制职业病危害，保障劳动者职业健康，根据《中华人民共和国职业病防治法》、《工作场所职业卫生监督管理规定》（国家安全监管总局令第47号）以及《工作场所职业病危害警示标识》（GBZ158）、《高毒物品作业岗位职业病危害告知规范》（GBZ/T203）等法律、规章和标准，制定本规范。</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第二条 职业病危害告知是指用人单位通过与劳动者签订劳动合同、公告、培训等方式，使劳动者知晓工作场所产生或存在的职业病危害因素、防护措施、对健康的影响以及健康检查结果等的行为。职业病危害警示标识是指在工作场所中设置的可以提醒劳动者对职业病危害产生警觉并采取相应防护措施的图形标识、警示线、警示语句和文字说明以及组合使用的标识等。</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本规范所指的劳动者包括用人单位的合同制、聘用制、劳务派遣等性质的劳动者。</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第三条 用人单位应当依法开展工作场所职业病危害因素检测评价，识别分析工作过程中可能产生或存在的职业病危害因素。</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第四条 用人单位应将工作场所可能产生的职业病危害如实告知劳动者，在醒目位置设置职业病防治公告栏，并在可能产生严重职业病危害的作业岗位以及产生职业病危害的设备、材料、贮存场所等设置警示标识。</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第五条 用人单位应当依法开展职业卫生培训，使劳动者了解警示标识的含义，并针对警示的职业病危害因素采取有效的防护措施。</w:t>
      </w:r>
    </w:p>
    <w:p>
      <w:pPr>
        <w:spacing w:before="156" w:beforeLines="50" w:after="156" w:afterLines="50" w:line="360" w:lineRule="auto"/>
        <w:jc w:val="center"/>
        <w:rPr>
          <w:rFonts w:asciiTheme="minorEastAsia" w:hAnsiTheme="minorEastAsia"/>
          <w:b/>
          <w:sz w:val="24"/>
          <w:szCs w:val="24"/>
        </w:rPr>
      </w:pPr>
      <w:r>
        <w:rPr>
          <w:rFonts w:hint="eastAsia" w:asciiTheme="minorEastAsia" w:hAnsiTheme="minorEastAsia"/>
          <w:b/>
          <w:sz w:val="24"/>
          <w:szCs w:val="24"/>
        </w:rPr>
        <w:t>第二章  职业病危害告知</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第六条 产生职业病危害的用人单位应将工作过程中可能接触的职业病危害因素的种类、危害程度、危害后果、提供的职业病防护设施、个人使用的职业病防护用品、职业健康检查和相关待遇等如实告知劳动者，不得隐瞒或者欺骗。</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第七条 用人单位与劳动者订立劳动合同（含聘用合同，下同）时，应当在劳动合同中写明工作过程可能产生的职业病危害及其后果、职业病危害防护措施和待遇（岗位津贴、工伤保险等）等内容。同时，以书面形式告知劳务派遣人员。</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格式合同文本内容不完善的，应以合同附件形式签署职业病危害告知书（示例见附件1）。</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第八条 劳动者在履行劳动合同期间因工作岗位或者工作内容变更，从事与所订立劳动合同中未告知的存在职业病危害的作业时，用人单位应当依照本规范第七条 的规定，向劳动者履行如实告知的义务，并协商变更原劳动合同相关条 款。</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第九条 用人单位应对劳动者进行上岗前的职业卫生培训和在岗期间的定期职业卫生培训，使劳动者知悉工作场所存在的职业病危害，掌握有关职业病防治的规章制度、操作规程、应急救援措施、职业病防护设施和个人防护用品的正确使用维护方法及相关警示标识的含义，并经书面和实际操作考试合格后方可上岗作业。</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第十条 产生职业病危害的用人单位应当设置公告栏，公布本单位职业病防治的规章制度等内容。</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设置在办公区域的公告栏，主要公布本单位的职业卫生管理制度和操作规程等；设置在工作场所的公告栏，主要公布存在的职业病危害因素及岗位、健康危害、接触限值、应急救援措施，以及工作场所职业病危害因素检测结果、检测日期、检测机构名称等。</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第十一条 用人单位要按照规定组织从事接触职业病危害作业的劳动者进行上岗前、在岗期间和离岗时的职业健康检查，并将检查结果书面告知劳动者本人。用人单位书面告知文件要留档备查。</w:t>
      </w:r>
    </w:p>
    <w:p>
      <w:pPr>
        <w:spacing w:before="156" w:beforeLines="50" w:after="156" w:afterLines="50" w:line="360" w:lineRule="auto"/>
        <w:jc w:val="center"/>
        <w:rPr>
          <w:rFonts w:asciiTheme="minorEastAsia" w:hAnsiTheme="minorEastAsia"/>
          <w:b/>
          <w:sz w:val="24"/>
          <w:szCs w:val="24"/>
        </w:rPr>
      </w:pPr>
      <w:r>
        <w:rPr>
          <w:rFonts w:hint="eastAsia" w:asciiTheme="minorEastAsia" w:hAnsiTheme="minorEastAsia"/>
          <w:b/>
          <w:sz w:val="24"/>
          <w:szCs w:val="24"/>
        </w:rPr>
        <w:t xml:space="preserve">第三章 </w:t>
      </w:r>
      <w:r>
        <w:rPr>
          <w:rFonts w:asciiTheme="minorEastAsia" w:hAnsiTheme="minorEastAsia"/>
          <w:b/>
          <w:sz w:val="24"/>
          <w:szCs w:val="24"/>
        </w:rPr>
        <w:t xml:space="preserve"> </w:t>
      </w:r>
      <w:r>
        <w:rPr>
          <w:rFonts w:hint="eastAsia" w:asciiTheme="minorEastAsia" w:hAnsiTheme="minorEastAsia"/>
          <w:b/>
          <w:sz w:val="24"/>
          <w:szCs w:val="24"/>
        </w:rPr>
        <w:t>职业病危害警示标识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第十二条 用人单位应在产生或存在职业病危害因素的工作场所、作业岗位、设备、材料（产品）包装、贮存场所设置相应的警示标识。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第十三条 产生职业病危害的工作场所，应当在工作场所入口处及产生职业病危害的作业岗位或设备附近的醒目位置设置警示标识：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一）产生粉尘的工作场所设置“注意防尘”、“戴防尘口罩”、“注意通风”等警示标识，对皮肤有刺激性或经皮肤吸收的粉尘工作场所还应设置“穿防护服”、“戴防护手套”、“戴防护眼镜”，产生含有有毒物质的混合性粉（烟）尘的工作场所应设置“戴防尘毒口罩”；</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（二）放射工作场所设置“当心电离辐射”等警示标识，在开放性同位素工作场所设置“当心裂变物质”；</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三）有毒物品工作场所设置“禁止入内”、“当心中毒”、“当心有毒气体”、“必须洗手”、“穿防护服”、“戴防毒面具”、“戴防护手套”、“戴防护眼镜”、“注意通风”等警示标识，并标明“紧急出口”、“救援电话”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四）能引起职业性灼伤或腐蚀的化学品工作场所，设置“当心腐蚀”、“腐蚀性”、“遇湿具有腐蚀性”、“当心灼伤”、“穿防护服”、“戴防护手套”、“穿防护鞋”、“戴防护眼镜”、“戴防毒口罩”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（五）产生噪声的工作场所设置“噪声有害”、“戴护耳器”等警示标识；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（六）高温工作场所设置“当心中暑”、“注意高温”、“注意通风”等警示标识；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（七）能引起电光性眼炎的工作场所设置“当心弧光”、“戴防护镜”等警示标识；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（八）生物因素所致职业病的工作场所设置“当心感染”等警示标识；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（九）存在低温作业的工作场所设置“注意低温”、“当心冻伤”等警示标识；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（十）密闭空间作业场所出入口设置“密闭空间作业危险”、“进入需许可”等警示标识；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（十一）产生手传振动的工作场所设置“振动有害”、“使用设备时必须戴防振手套”等警示标识；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（十二）能引起其他职业病危害的工作场所设置“注意XX危害”等警示标识。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第十四条 生产、使用有毒物品工作场所应当设置黄色区域警示线。生产、使用高毒、剧毒物品工作场所应当设置红色区域警示线。警示线设在生产、使用有毒物品的车间周围外缘不少于30cm处，警示线宽度不少于10cm。</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第十五条 开放性放射工作场所监督区设置黄色区域警示线，控制区设置红色区域警示线；室外、野外放射工作场所及室外、野外放射性同位素及其贮存场所应设置相应警示线。</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第十六条 对产生严重职业病危害的作业岗位，除按本规范第十三条的要求设置警示标识外，还应当在其醒目位置设置职业病危害告知卡（以下简称告知卡，示例见附件2）。</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告知卡应当标明职业病危害因素名称、理化特性、健康危害、接触限值、防护措施、应急处理及急救电话、职业病危害因素检测结果及检测时间等。</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符合以下条件之一，即为产生严重职业病危害的作业岗位：</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1.存在矽尘或石棉粉尘的作业岗位；</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2.存在“致癌”、“致畸”等有害物质或者可能导致急性职业性中毒的作业岗位；</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3.放射性危害作业岗位。</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第十七条 使用可能产生职业病危害的化学品、放射性同位素和含有放射性物质的材料的，必须在使用岗位设置醒目的警示标识和中文警示说明（示例见附件3），警示说明应当载明产品特性、主要成份、存在的有害因素、可能产生的危害后果、安全使用注意事项、职业病防护以及应急救治措施等内容。</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第十八条 贮存可能产生职业病危害的化学品、放射性同位素和含有放射性物质材料的场所，应当在入口处和存放处设置“当心中毒”、“当心电离辐射”、“非工作人员禁止入内”等警示标识。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第十九条 使用可能产生职业病危害的设备的，除按本规范第十三条 的要求设置警示标识外，还应当在设备醒目位置设置中文警示说明。警示说明应当载明设备性能、可能产生的职业病危害、安全操作和维护注意事项、职业病防护以及应急救治措施等内容。</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第二十条 为用人单位提供可能产生职业病危害的设备或可能产生职业病危害的化学品、放射性同位素和含有放射性物质的材料的，应当依法在设备或者材料的包装上设置警示标识和中文警示说明。</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第二十一条 高毒、剧毒物品工作场所应急撤离通道设置“紧急出口”，泄险区启用时应设置“禁止入内”、“禁止停留”等警示标识。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第二十二条 维护和检修装置时产生或可能产生职业病危害的，应在工作区域设置相应的职业病危害警示标识。</w:t>
      </w:r>
    </w:p>
    <w:p>
      <w:pPr>
        <w:spacing w:before="156" w:beforeLines="50" w:after="156" w:afterLines="50" w:line="360" w:lineRule="auto"/>
        <w:jc w:val="center"/>
        <w:rPr>
          <w:rFonts w:asciiTheme="minorEastAsia" w:hAnsiTheme="minorEastAsia"/>
          <w:b/>
          <w:color w:val="FF0000"/>
          <w:sz w:val="24"/>
          <w:szCs w:val="24"/>
        </w:rPr>
      </w:pPr>
      <w:r>
        <w:rPr>
          <w:rFonts w:hint="eastAsia" w:asciiTheme="minorEastAsia" w:hAnsiTheme="minorEastAsia"/>
          <w:b/>
          <w:color w:val="FF0000"/>
          <w:sz w:val="24"/>
          <w:szCs w:val="24"/>
        </w:rPr>
        <w:t>第四章 公告栏与警示标识的设置</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第二十三条 公告栏应设置在用人单位办公区域、工作场所入口处等方便劳动者观看的醒目位置。告知卡应设置在产生或存在严重职业病危害的作业岗位附近的醒目位置。</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第二十四条 公告栏和告知卡应使用坚固材料制成，尺寸大小应满足内容需要，高度应适合劳动者阅读，内容应字迹清楚、颜色醒目。</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第二十五条 用人单位多处场所都涉及同一职业病危害因素的，应在各工作场所入口处均设置相应的警示标识。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第二十六条 工作场所内存在多个产生相同职业病危害因素的作业岗位的，临近的作业岗位可以共用警示标识、中文警示说明和告知卡。</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第二十七条 警示标识（不包括警示线）采用坚固耐用、不易变形变质、阻燃的材料制作。有触电危险的工作场所使用绝缘材料。可能产生职业病危害的设备及化学品、放射性同位素和含放射性物质的材料（产品）包装上，可直接粘贴、印刷或者喷涂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第二十八条 警示标识设置的位置应具有良好的照明条件。井下警示标识应用反光材料制作。</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第二十九条 公告栏、告知卡和警示标识不应设在门窗或可移动的物体上，其前面不得放置妨碍认读的障碍物。</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第三十条 多个警示标识在一起设置时，应按禁止、警告、指令、提示类型的顺序，先左后右、先上后下排列。</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第三十一条 警示标识的规格要求等按照《工作场所职业病危害警示标识》（GBZ158）执行。</w:t>
      </w:r>
    </w:p>
    <w:p>
      <w:pPr>
        <w:spacing w:before="156" w:beforeLines="50" w:after="156" w:afterLines="50" w:line="360" w:lineRule="auto"/>
        <w:jc w:val="center"/>
        <w:rPr>
          <w:rFonts w:asciiTheme="minorEastAsia" w:hAnsiTheme="minorEastAsia"/>
          <w:b/>
          <w:color w:val="FF0000"/>
          <w:sz w:val="24"/>
          <w:szCs w:val="24"/>
        </w:rPr>
      </w:pPr>
      <w:r>
        <w:rPr>
          <w:rFonts w:hint="eastAsia" w:asciiTheme="minorEastAsia" w:hAnsiTheme="minorEastAsia"/>
          <w:b/>
          <w:color w:val="FF0000"/>
          <w:sz w:val="24"/>
          <w:szCs w:val="24"/>
        </w:rPr>
        <w:t xml:space="preserve">第五章 </w:t>
      </w:r>
      <w:r>
        <w:rPr>
          <w:rFonts w:asciiTheme="minorEastAsia" w:hAnsiTheme="minorEastAsia"/>
          <w:b/>
          <w:color w:val="FF0000"/>
          <w:sz w:val="24"/>
          <w:szCs w:val="24"/>
        </w:rPr>
        <w:t xml:space="preserve"> </w:t>
      </w:r>
      <w:r>
        <w:rPr>
          <w:rFonts w:hint="eastAsia" w:asciiTheme="minorEastAsia" w:hAnsiTheme="minorEastAsia"/>
          <w:b/>
          <w:color w:val="FF0000"/>
          <w:sz w:val="24"/>
          <w:szCs w:val="24"/>
        </w:rPr>
        <w:t>公告栏与警示标识的维护更换</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第三十二条 公告栏中公告内容发生变动后应及时更新，职业病危害因素检测结果应在收到检测报告之日起7日内更新。</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生产工艺发生变更时，应在工艺变更完成后7日内补充完善相应的公告内容与警示标识。</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第三十三条 告知卡和警示标识应至少每半年检查一次，发现有破损、变形、变色、图形符号脱落、亮度老化等影响使用的问题时应及时修整或更换。</w:t>
      </w:r>
    </w:p>
    <w:p>
      <w:pPr>
        <w:spacing w:before="156" w:beforeLines="50" w:after="156" w:afterLines="50" w:line="360" w:lineRule="auto"/>
        <w:ind w:firstLine="480" w:firstLineChars="200"/>
        <w:rPr>
          <w:rFonts w:asciiTheme="minorEastAsia" w:hAnsiTheme="minorEastAsia"/>
          <w:color w:val="FF0000"/>
          <w:sz w:val="24"/>
          <w:szCs w:val="24"/>
        </w:rPr>
      </w:pPr>
      <w:r>
        <w:rPr>
          <w:rFonts w:hint="eastAsia" w:asciiTheme="minorEastAsia" w:hAnsiTheme="minorEastAsia"/>
          <w:color w:val="FF0000"/>
          <w:sz w:val="24"/>
          <w:szCs w:val="24"/>
        </w:rPr>
        <w:t>第三十四条 用人单位应按照《国家安全监管总局办公厅关于印发职业卫生档案管理规范的通知》（安监总厅安健〔2013〕171号）的要求，完善职业病危害告知与警示标识档案材料，并将其存放于本单位的职业卫生档案。</w:t>
      </w:r>
    </w:p>
    <w:p>
      <w:pPr>
        <w:spacing w:before="156" w:beforeLines="50" w:after="156" w:afterLines="50" w:line="360" w:lineRule="auto"/>
        <w:jc w:val="center"/>
        <w:rPr>
          <w:rFonts w:asciiTheme="minorEastAsia" w:hAnsiTheme="minorEastAsia"/>
          <w:b/>
          <w:sz w:val="24"/>
          <w:szCs w:val="24"/>
        </w:rPr>
      </w:pPr>
      <w:r>
        <w:rPr>
          <w:rFonts w:hint="eastAsia" w:asciiTheme="minorEastAsia" w:hAnsiTheme="minorEastAsia"/>
          <w:b/>
          <w:sz w:val="24"/>
          <w:szCs w:val="24"/>
        </w:rPr>
        <w:t xml:space="preserve">第六章 </w:t>
      </w:r>
      <w:r>
        <w:rPr>
          <w:rFonts w:asciiTheme="minorEastAsia" w:hAnsiTheme="minorEastAsia"/>
          <w:b/>
          <w:sz w:val="24"/>
          <w:szCs w:val="24"/>
        </w:rPr>
        <w:t xml:space="preserve"> </w:t>
      </w:r>
      <w:r>
        <w:rPr>
          <w:rFonts w:hint="eastAsia" w:asciiTheme="minorEastAsia" w:hAnsiTheme="minorEastAsia"/>
          <w:b/>
          <w:sz w:val="24"/>
          <w:szCs w:val="24"/>
        </w:rPr>
        <w:t>附则</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第三十五条 用人单位违反本规范的行为，应当依据《中华人民共和国职业病防治法》、《工作场所职业卫生监督管理规定》等法律法规及规章的规定予以处罚。</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第三十六条 本规范未规定的其他有关事项，依照《中华人民共和国职业病防治法》和其他有关法律法规规章及职业卫生标准的规定执行。</w:t>
      </w:r>
    </w:p>
    <w:p>
      <w:pPr>
        <w:spacing w:before="156" w:beforeLines="50" w:after="156" w:afterLines="50" w:line="360" w:lineRule="auto"/>
        <w:ind w:firstLine="482" w:firstLineChars="200"/>
        <w:rPr>
          <w:rFonts w:asciiTheme="minorEastAsia" w:hAnsiTheme="minorEastAsia"/>
          <w:b/>
          <w:sz w:val="24"/>
          <w:szCs w:val="24"/>
        </w:rPr>
      </w:pPr>
      <w:r>
        <w:rPr>
          <w:rFonts w:hint="eastAsia" w:asciiTheme="minorEastAsia" w:hAnsiTheme="minorEastAsia"/>
          <w:b/>
          <w:sz w:val="24"/>
          <w:szCs w:val="24"/>
        </w:rPr>
        <w:t>附件：</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1.职业病危害告知书示例</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2.职业病危害告知卡示例</w:t>
      </w:r>
    </w:p>
    <w:p>
      <w:pPr>
        <w:spacing w:before="156" w:beforeLines="50" w:after="156" w:afterLines="50" w:line="360" w:lineRule="auto"/>
        <w:ind w:firstLine="480" w:firstLineChars="200"/>
        <w:rPr>
          <w:rFonts w:asciiTheme="minorEastAsia" w:hAnsiTheme="minorEastAsia"/>
          <w:sz w:val="24"/>
          <w:szCs w:val="24"/>
        </w:rPr>
      </w:pPr>
      <w:r>
        <w:rPr>
          <w:rFonts w:hint="eastAsia" w:asciiTheme="minorEastAsia" w:hAnsiTheme="minorEastAsia"/>
          <w:sz w:val="24"/>
          <w:szCs w:val="24"/>
        </w:rPr>
        <w:t>3.中文警示说明示例</w:t>
      </w:r>
    </w:p>
    <w:p>
      <w:pPr>
        <w:widowControl/>
        <w:jc w:val="left"/>
        <w:rPr>
          <w:rFonts w:asciiTheme="minorEastAsia" w:hAnsiTheme="minorEastAsia"/>
          <w:sz w:val="24"/>
          <w:szCs w:val="24"/>
        </w:rPr>
      </w:pPr>
      <w:r>
        <w:rPr>
          <w:rFonts w:asciiTheme="minorEastAsia" w:hAnsiTheme="minorEastAsia"/>
          <w:sz w:val="24"/>
          <w:szCs w:val="24"/>
        </w:rPr>
        <w:br w:type="page"/>
      </w:r>
    </w:p>
    <w:p>
      <w:pPr>
        <w:widowControl/>
        <w:spacing w:line="375" w:lineRule="atLeast"/>
        <w:jc w:val="left"/>
        <w:rPr>
          <w:rFonts w:hint="eastAsia" w:ascii="宋体" w:hAnsi="宋体" w:cs="宋体"/>
          <w:color w:val="000000"/>
          <w:kern w:val="0"/>
          <w:sz w:val="27"/>
          <w:szCs w:val="27"/>
        </w:rPr>
      </w:pPr>
      <w:r>
        <w:rPr>
          <w:rFonts w:ascii="宋体" w:hAnsi="宋体" w:cs="宋体"/>
          <w:color w:val="000000"/>
          <w:kern w:val="0"/>
          <w:sz w:val="36"/>
          <w:szCs w:val="36"/>
        </w:rPr>
        <w:t>附件1</w:t>
      </w:r>
    </w:p>
    <w:p>
      <w:pPr>
        <w:widowControl/>
        <w:spacing w:line="375" w:lineRule="atLeast"/>
        <w:jc w:val="center"/>
        <w:rPr>
          <w:rFonts w:hint="eastAsia" w:ascii="宋体" w:hAnsi="宋体" w:cs="宋体"/>
          <w:color w:val="000000"/>
          <w:kern w:val="0"/>
          <w:sz w:val="27"/>
          <w:szCs w:val="27"/>
        </w:rPr>
      </w:pPr>
      <w:r>
        <w:rPr>
          <w:rFonts w:ascii="宋体" w:hAnsi="宋体" w:cs="宋体"/>
          <w:color w:val="000000"/>
          <w:kern w:val="0"/>
          <w:sz w:val="36"/>
          <w:szCs w:val="36"/>
        </w:rPr>
        <w:t>职业病危害告知书示例</w:t>
      </w:r>
    </w:p>
    <w:p>
      <w:pPr>
        <w:widowControl/>
        <w:spacing w:line="375" w:lineRule="atLeast"/>
        <w:jc w:val="center"/>
        <w:rPr>
          <w:rFonts w:hint="eastAsia" w:ascii="宋体" w:hAnsi="宋体" w:cs="宋体"/>
          <w:color w:val="000000"/>
          <w:kern w:val="0"/>
          <w:sz w:val="27"/>
          <w:szCs w:val="27"/>
        </w:rPr>
      </w:pPr>
    </w:p>
    <w:p>
      <w:pPr>
        <w:widowControl/>
        <w:spacing w:line="375" w:lineRule="atLeast"/>
        <w:ind w:firstLine="662"/>
        <w:jc w:val="left"/>
        <w:rPr>
          <w:rFonts w:hint="eastAsia" w:ascii="宋体" w:hAnsi="宋体" w:cs="宋体"/>
          <w:color w:val="000000"/>
          <w:kern w:val="0"/>
          <w:sz w:val="27"/>
          <w:szCs w:val="27"/>
        </w:rPr>
      </w:pPr>
      <w:r>
        <w:rPr>
          <w:rFonts w:ascii="宋体" w:hAnsi="宋体" w:cs="宋体"/>
          <w:color w:val="000000"/>
          <w:kern w:val="0"/>
          <w:sz w:val="24"/>
        </w:rPr>
        <w:t>根据《职业病防治法》第三十四条的规定，用人单位（甲方）在与劳动者（乙方）订立劳动合同时应告知工作过程中可能产生的职业病危害及其后果、职业病防护措施和待遇等内容：</w:t>
      </w:r>
    </w:p>
    <w:p>
      <w:pPr>
        <w:widowControl/>
        <w:spacing w:line="375" w:lineRule="atLeast"/>
        <w:ind w:firstLine="662"/>
        <w:jc w:val="left"/>
        <w:rPr>
          <w:rFonts w:hint="eastAsia" w:ascii="宋体" w:hAnsi="宋体" w:cs="宋体"/>
          <w:color w:val="000000"/>
          <w:kern w:val="0"/>
          <w:sz w:val="27"/>
          <w:szCs w:val="27"/>
        </w:rPr>
      </w:pPr>
      <w:r>
        <w:rPr>
          <w:rFonts w:ascii="宋体" w:hAnsi="宋体" w:cs="宋体"/>
          <w:color w:val="000000"/>
          <w:kern w:val="0"/>
          <w:sz w:val="24"/>
        </w:rPr>
        <w:t>（一）所在工作岗位、可能产生的职业病危害、后果及职业病防护措施：</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1849"/>
        <w:gridCol w:w="1490"/>
        <w:gridCol w:w="2551"/>
        <w:gridCol w:w="1771"/>
        <w:gridCol w:w="155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69" w:hRule="atLeast"/>
          <w:jc w:val="center"/>
        </w:trPr>
        <w:tc>
          <w:tcPr>
            <w:tcW w:w="1849" w:type="dxa"/>
            <w:shd w:val="clear" w:color="auto" w:fill="auto"/>
            <w:tcMar>
              <w:top w:w="0" w:type="dxa"/>
              <w:left w:w="108" w:type="dxa"/>
              <w:bottom w:w="0" w:type="dxa"/>
              <w:right w:w="108" w:type="dxa"/>
            </w:tcMar>
            <w:vAlign w:val="center"/>
          </w:tcPr>
          <w:p>
            <w:pPr>
              <w:widowControl/>
              <w:spacing w:line="375" w:lineRule="atLeast"/>
              <w:jc w:val="center"/>
              <w:rPr>
                <w:rFonts w:ascii="宋体" w:hAnsi="宋体" w:cs="宋体"/>
                <w:kern w:val="0"/>
                <w:sz w:val="24"/>
              </w:rPr>
            </w:pPr>
            <w:r>
              <w:rPr>
                <w:rFonts w:ascii="宋体" w:hAnsi="宋体" w:cs="宋体"/>
                <w:color w:val="000000"/>
                <w:kern w:val="0"/>
                <w:sz w:val="24"/>
              </w:rPr>
              <w:t>所在部门及</w:t>
            </w:r>
          </w:p>
          <w:p>
            <w:pPr>
              <w:widowControl/>
              <w:spacing w:line="375" w:lineRule="atLeast"/>
              <w:jc w:val="center"/>
              <w:rPr>
                <w:rFonts w:ascii="宋体" w:hAnsi="宋体" w:cs="宋体"/>
                <w:kern w:val="0"/>
                <w:sz w:val="24"/>
              </w:rPr>
            </w:pPr>
            <w:r>
              <w:rPr>
                <w:rFonts w:ascii="宋体" w:hAnsi="宋体" w:cs="宋体"/>
                <w:color w:val="000000"/>
                <w:kern w:val="0"/>
                <w:sz w:val="24"/>
              </w:rPr>
              <w:t>岗位名称</w:t>
            </w:r>
          </w:p>
        </w:tc>
        <w:tc>
          <w:tcPr>
            <w:tcW w:w="1490" w:type="dxa"/>
            <w:shd w:val="clear" w:color="auto" w:fill="auto"/>
            <w:tcMar>
              <w:top w:w="0" w:type="dxa"/>
              <w:left w:w="108" w:type="dxa"/>
              <w:bottom w:w="0" w:type="dxa"/>
              <w:right w:w="108" w:type="dxa"/>
            </w:tcMar>
            <w:vAlign w:val="center"/>
          </w:tcPr>
          <w:p>
            <w:pPr>
              <w:widowControl/>
              <w:spacing w:line="375" w:lineRule="atLeast"/>
              <w:jc w:val="center"/>
              <w:rPr>
                <w:rFonts w:ascii="宋体" w:hAnsi="宋体" w:cs="宋体"/>
                <w:kern w:val="0"/>
                <w:sz w:val="24"/>
              </w:rPr>
            </w:pPr>
            <w:r>
              <w:rPr>
                <w:rFonts w:ascii="宋体" w:hAnsi="宋体" w:cs="宋体"/>
                <w:color w:val="000000"/>
                <w:kern w:val="0"/>
                <w:sz w:val="24"/>
              </w:rPr>
              <w:t>职业病危害因素</w:t>
            </w:r>
          </w:p>
        </w:tc>
        <w:tc>
          <w:tcPr>
            <w:tcW w:w="2551" w:type="dxa"/>
            <w:shd w:val="clear" w:color="auto" w:fill="auto"/>
            <w:tcMar>
              <w:top w:w="0" w:type="dxa"/>
              <w:left w:w="108" w:type="dxa"/>
              <w:bottom w:w="0" w:type="dxa"/>
              <w:right w:w="108" w:type="dxa"/>
            </w:tcMar>
            <w:vAlign w:val="center"/>
          </w:tcPr>
          <w:p>
            <w:pPr>
              <w:widowControl/>
              <w:spacing w:line="375" w:lineRule="atLeast"/>
              <w:jc w:val="center"/>
              <w:rPr>
                <w:rFonts w:ascii="宋体" w:hAnsi="宋体" w:cs="宋体"/>
                <w:kern w:val="0"/>
                <w:sz w:val="24"/>
              </w:rPr>
            </w:pPr>
            <w:r>
              <w:rPr>
                <w:rFonts w:ascii="宋体" w:hAnsi="宋体" w:cs="宋体"/>
                <w:color w:val="000000"/>
                <w:kern w:val="0"/>
                <w:sz w:val="24"/>
              </w:rPr>
              <w:t>职业禁忌证</w:t>
            </w:r>
          </w:p>
        </w:tc>
        <w:tc>
          <w:tcPr>
            <w:tcW w:w="1771" w:type="dxa"/>
            <w:shd w:val="clear" w:color="auto" w:fill="auto"/>
            <w:tcMar>
              <w:top w:w="0" w:type="dxa"/>
              <w:left w:w="108" w:type="dxa"/>
              <w:bottom w:w="0" w:type="dxa"/>
              <w:right w:w="108" w:type="dxa"/>
            </w:tcMar>
            <w:vAlign w:val="center"/>
          </w:tcPr>
          <w:p>
            <w:pPr>
              <w:widowControl/>
              <w:spacing w:line="375" w:lineRule="atLeast"/>
              <w:jc w:val="center"/>
              <w:rPr>
                <w:rFonts w:ascii="宋体" w:hAnsi="宋体" w:cs="宋体"/>
                <w:kern w:val="0"/>
                <w:sz w:val="24"/>
              </w:rPr>
            </w:pPr>
            <w:r>
              <w:rPr>
                <w:rFonts w:ascii="宋体" w:hAnsi="宋体" w:cs="宋体"/>
                <w:color w:val="000000"/>
                <w:kern w:val="0"/>
                <w:sz w:val="24"/>
              </w:rPr>
              <w:t>可能导致的职业病危害</w:t>
            </w:r>
          </w:p>
        </w:tc>
        <w:tc>
          <w:tcPr>
            <w:tcW w:w="1559" w:type="dxa"/>
            <w:shd w:val="clear" w:color="auto" w:fill="auto"/>
            <w:tcMar>
              <w:top w:w="0" w:type="dxa"/>
              <w:left w:w="108" w:type="dxa"/>
              <w:bottom w:w="0" w:type="dxa"/>
              <w:right w:w="108" w:type="dxa"/>
            </w:tcMar>
            <w:vAlign w:val="center"/>
          </w:tcPr>
          <w:p>
            <w:pPr>
              <w:widowControl/>
              <w:spacing w:line="375" w:lineRule="atLeast"/>
              <w:jc w:val="center"/>
              <w:rPr>
                <w:rFonts w:ascii="宋体" w:hAnsi="宋体" w:cs="宋体"/>
                <w:kern w:val="0"/>
                <w:sz w:val="24"/>
              </w:rPr>
            </w:pPr>
            <w:r>
              <w:rPr>
                <w:rFonts w:ascii="宋体" w:hAnsi="宋体" w:cs="宋体"/>
                <w:color w:val="000000"/>
                <w:kern w:val="0"/>
                <w:sz w:val="24"/>
              </w:rPr>
              <w:t>职业病防护措施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42" w:hRule="atLeast"/>
          <w:jc w:val="center"/>
        </w:trPr>
        <w:tc>
          <w:tcPr>
            <w:tcW w:w="1849" w:type="dxa"/>
            <w:shd w:val="clear" w:color="auto" w:fill="auto"/>
            <w:tcMar>
              <w:top w:w="0" w:type="dxa"/>
              <w:left w:w="108" w:type="dxa"/>
              <w:bottom w:w="0" w:type="dxa"/>
              <w:right w:w="108" w:type="dxa"/>
            </w:tcMar>
            <w:vAlign w:val="center"/>
          </w:tcPr>
          <w:p>
            <w:pPr>
              <w:widowControl/>
              <w:spacing w:line="375" w:lineRule="atLeast"/>
              <w:jc w:val="left"/>
              <w:rPr>
                <w:rFonts w:ascii="宋体" w:hAnsi="宋体" w:cs="宋体"/>
                <w:kern w:val="0"/>
                <w:sz w:val="24"/>
              </w:rPr>
            </w:pPr>
            <w:r>
              <w:rPr>
                <w:rFonts w:ascii="宋体" w:hAnsi="宋体" w:cs="宋体"/>
                <w:color w:val="000000"/>
                <w:kern w:val="0"/>
                <w:sz w:val="24"/>
              </w:rPr>
              <w:t>例：铸造车间铸造工</w:t>
            </w:r>
          </w:p>
        </w:tc>
        <w:tc>
          <w:tcPr>
            <w:tcW w:w="1490" w:type="dxa"/>
            <w:shd w:val="clear" w:color="auto" w:fill="auto"/>
            <w:tcMar>
              <w:top w:w="0" w:type="dxa"/>
              <w:left w:w="108" w:type="dxa"/>
              <w:bottom w:w="0" w:type="dxa"/>
              <w:right w:w="108" w:type="dxa"/>
            </w:tcMar>
            <w:vAlign w:val="center"/>
          </w:tcPr>
          <w:p>
            <w:pPr>
              <w:widowControl/>
              <w:spacing w:line="375" w:lineRule="atLeast"/>
              <w:ind w:firstLine="240"/>
              <w:jc w:val="left"/>
              <w:rPr>
                <w:rFonts w:ascii="宋体" w:hAnsi="宋体" w:cs="宋体"/>
                <w:kern w:val="0"/>
                <w:sz w:val="24"/>
              </w:rPr>
            </w:pPr>
            <w:r>
              <w:rPr>
                <w:rFonts w:ascii="宋体" w:hAnsi="宋体" w:cs="宋体"/>
                <w:color w:val="000000"/>
                <w:kern w:val="0"/>
                <w:sz w:val="24"/>
              </w:rPr>
              <w:t>粉尘</w:t>
            </w:r>
          </w:p>
        </w:tc>
        <w:tc>
          <w:tcPr>
            <w:tcW w:w="2551" w:type="dxa"/>
            <w:shd w:val="clear" w:color="auto" w:fill="auto"/>
            <w:tcMar>
              <w:top w:w="0" w:type="dxa"/>
              <w:left w:w="108" w:type="dxa"/>
              <w:bottom w:w="0" w:type="dxa"/>
              <w:right w:w="108" w:type="dxa"/>
            </w:tcMar>
            <w:vAlign w:val="center"/>
          </w:tcPr>
          <w:p>
            <w:pPr>
              <w:widowControl/>
              <w:spacing w:line="375" w:lineRule="atLeast"/>
              <w:jc w:val="left"/>
              <w:rPr>
                <w:rFonts w:ascii="宋体" w:hAnsi="宋体" w:cs="宋体"/>
                <w:kern w:val="0"/>
                <w:sz w:val="24"/>
              </w:rPr>
            </w:pPr>
            <w:r>
              <w:rPr>
                <w:rFonts w:ascii="宋体" w:hAnsi="宋体" w:cs="宋体"/>
                <w:color w:val="000000"/>
                <w:kern w:val="0"/>
                <w:sz w:val="24"/>
              </w:rPr>
              <w:t>活动性肺结核病</w:t>
            </w:r>
          </w:p>
          <w:p>
            <w:pPr>
              <w:widowControl/>
              <w:spacing w:line="375" w:lineRule="atLeast"/>
              <w:jc w:val="left"/>
              <w:rPr>
                <w:rFonts w:ascii="宋体" w:hAnsi="宋体" w:cs="宋体"/>
                <w:kern w:val="0"/>
                <w:sz w:val="24"/>
              </w:rPr>
            </w:pPr>
            <w:r>
              <w:rPr>
                <w:rFonts w:ascii="宋体" w:hAnsi="宋体" w:cs="宋体"/>
                <w:color w:val="000000"/>
                <w:kern w:val="0"/>
                <w:sz w:val="24"/>
              </w:rPr>
              <w:t>慢性阻塞性肺病</w:t>
            </w:r>
          </w:p>
          <w:p>
            <w:pPr>
              <w:widowControl/>
              <w:spacing w:line="375" w:lineRule="atLeast"/>
              <w:jc w:val="left"/>
              <w:rPr>
                <w:rFonts w:ascii="宋体" w:hAnsi="宋体" w:cs="宋体"/>
                <w:kern w:val="0"/>
                <w:sz w:val="24"/>
              </w:rPr>
            </w:pPr>
            <w:r>
              <w:rPr>
                <w:rFonts w:ascii="宋体" w:hAnsi="宋体" w:cs="宋体"/>
                <w:color w:val="000000"/>
                <w:kern w:val="0"/>
                <w:sz w:val="24"/>
              </w:rPr>
              <w:t>慢性间质性肺病</w:t>
            </w:r>
          </w:p>
          <w:p>
            <w:pPr>
              <w:widowControl/>
              <w:spacing w:line="375" w:lineRule="atLeast"/>
              <w:jc w:val="left"/>
              <w:rPr>
                <w:rFonts w:ascii="宋体" w:hAnsi="宋体" w:cs="宋体"/>
                <w:kern w:val="0"/>
                <w:sz w:val="24"/>
              </w:rPr>
            </w:pPr>
            <w:r>
              <w:rPr>
                <w:rFonts w:ascii="宋体" w:hAnsi="宋体" w:cs="宋体"/>
                <w:color w:val="000000"/>
                <w:spacing w:val="10"/>
                <w:kern w:val="0"/>
                <w:sz w:val="24"/>
              </w:rPr>
              <w:t>伴肺功能损害的疾</w:t>
            </w:r>
            <w:r>
              <w:rPr>
                <w:rFonts w:ascii="宋体" w:hAnsi="宋体" w:cs="宋体"/>
                <w:color w:val="000000"/>
                <w:spacing w:val="-40"/>
                <w:kern w:val="0"/>
                <w:sz w:val="24"/>
              </w:rPr>
              <w:t>病</w:t>
            </w:r>
          </w:p>
        </w:tc>
        <w:tc>
          <w:tcPr>
            <w:tcW w:w="1771" w:type="dxa"/>
            <w:shd w:val="clear" w:color="auto" w:fill="auto"/>
            <w:tcMar>
              <w:top w:w="0" w:type="dxa"/>
              <w:left w:w="108" w:type="dxa"/>
              <w:bottom w:w="0" w:type="dxa"/>
              <w:right w:w="108" w:type="dxa"/>
            </w:tcMar>
            <w:vAlign w:val="center"/>
          </w:tcPr>
          <w:p>
            <w:pPr>
              <w:widowControl/>
              <w:spacing w:line="375" w:lineRule="atLeast"/>
              <w:ind w:firstLine="360"/>
              <w:jc w:val="left"/>
              <w:rPr>
                <w:rFonts w:ascii="宋体" w:hAnsi="宋体" w:cs="宋体"/>
                <w:kern w:val="0"/>
                <w:sz w:val="24"/>
              </w:rPr>
            </w:pPr>
            <w:r>
              <w:rPr>
                <w:rFonts w:ascii="宋体" w:hAnsi="宋体" w:cs="宋体"/>
                <w:color w:val="000000"/>
                <w:kern w:val="0"/>
                <w:sz w:val="24"/>
              </w:rPr>
              <w:t>尘肺</w:t>
            </w:r>
          </w:p>
        </w:tc>
        <w:tc>
          <w:tcPr>
            <w:tcW w:w="1559" w:type="dxa"/>
            <w:shd w:val="clear" w:color="auto" w:fill="auto"/>
            <w:tcMar>
              <w:top w:w="0" w:type="dxa"/>
              <w:left w:w="108" w:type="dxa"/>
              <w:bottom w:w="0" w:type="dxa"/>
              <w:right w:w="108" w:type="dxa"/>
            </w:tcMar>
            <w:vAlign w:val="center"/>
          </w:tcPr>
          <w:p>
            <w:pPr>
              <w:widowControl/>
              <w:spacing w:line="375" w:lineRule="atLeast"/>
              <w:jc w:val="left"/>
              <w:rPr>
                <w:rFonts w:ascii="宋体" w:hAnsi="宋体" w:cs="宋体"/>
                <w:kern w:val="0"/>
                <w:sz w:val="24"/>
              </w:rPr>
            </w:pPr>
            <w:r>
              <w:rPr>
                <w:rFonts w:ascii="宋体" w:hAnsi="宋体" w:cs="宋体"/>
                <w:color w:val="000000"/>
                <w:kern w:val="0"/>
                <w:sz w:val="24"/>
              </w:rPr>
              <w:t>除尘装置</w:t>
            </w:r>
          </w:p>
          <w:p>
            <w:pPr>
              <w:widowControl/>
              <w:spacing w:line="375" w:lineRule="atLeast"/>
              <w:jc w:val="left"/>
              <w:rPr>
                <w:rFonts w:ascii="宋体" w:hAnsi="宋体" w:cs="宋体"/>
                <w:kern w:val="0"/>
                <w:sz w:val="24"/>
              </w:rPr>
            </w:pPr>
            <w:r>
              <w:rPr>
                <w:rFonts w:ascii="宋体" w:hAnsi="宋体" w:cs="宋体"/>
                <w:color w:val="000000"/>
                <w:kern w:val="0"/>
                <w:sz w:val="24"/>
              </w:rPr>
              <w:t>防尘口罩</w:t>
            </w:r>
          </w:p>
        </w:tc>
      </w:tr>
    </w:tbl>
    <w:p>
      <w:pPr>
        <w:widowControl/>
        <w:spacing w:line="375" w:lineRule="atLeast"/>
        <w:ind w:firstLine="662"/>
        <w:jc w:val="left"/>
        <w:rPr>
          <w:rFonts w:hint="eastAsia" w:ascii="宋体" w:hAnsi="宋体" w:cs="宋体"/>
          <w:color w:val="000000"/>
          <w:kern w:val="0"/>
          <w:sz w:val="27"/>
          <w:szCs w:val="27"/>
        </w:rPr>
      </w:pPr>
      <w:r>
        <w:rPr>
          <w:rFonts w:ascii="宋体" w:hAnsi="宋体" w:cs="宋体"/>
          <w:color w:val="000000"/>
          <w:kern w:val="0"/>
          <w:sz w:val="24"/>
        </w:rPr>
        <w:t>（二）甲方应依照《职业病防治法》及《职业健康监护技术规范》（GBZ188）的要求，做好乙方上岗前、在岗期间、离岗时的职业健康检查和应急检查。一旦发生职业病，甲方必须按照国家有关法律、法规的要求，为乙方如实提供职业病诊断、鉴定所需的劳动者职业史和职业病危害接触史、工作场所职业病危害因素检测结果等资料及相应待遇。</w:t>
      </w:r>
    </w:p>
    <w:p>
      <w:pPr>
        <w:widowControl/>
        <w:spacing w:line="375" w:lineRule="atLeast"/>
        <w:ind w:firstLine="662"/>
        <w:jc w:val="left"/>
        <w:rPr>
          <w:rFonts w:hint="eastAsia" w:ascii="宋体" w:hAnsi="宋体" w:cs="宋体"/>
          <w:color w:val="000000"/>
          <w:kern w:val="0"/>
          <w:sz w:val="27"/>
          <w:szCs w:val="27"/>
        </w:rPr>
      </w:pPr>
      <w:r>
        <w:rPr>
          <w:rFonts w:ascii="宋体" w:hAnsi="宋体" w:cs="宋体"/>
          <w:color w:val="000000"/>
          <w:kern w:val="0"/>
          <w:sz w:val="24"/>
        </w:rPr>
        <w:t>（三）乙方应自觉遵守甲方的职业卫生管理制度和操作规程，正确使用维护职业病防护设施和个人职业病防护用品，积极参加职业卫生知识培训，按要求参加上岗前、在岗期间和离岗时的职业健康检查。若被检查出职业禁忌证或发现与所从事的职业相关的健康损害的，必须服从甲方为保护乙方职业健康而调离原岗位并妥善安置的工作安排。</w:t>
      </w:r>
    </w:p>
    <w:p>
      <w:pPr>
        <w:widowControl/>
        <w:spacing w:line="375" w:lineRule="atLeast"/>
        <w:ind w:firstLine="662"/>
        <w:jc w:val="left"/>
        <w:rPr>
          <w:rFonts w:hint="eastAsia" w:ascii="宋体" w:hAnsi="宋体" w:cs="宋体"/>
          <w:color w:val="000000"/>
          <w:kern w:val="0"/>
          <w:sz w:val="27"/>
          <w:szCs w:val="27"/>
        </w:rPr>
      </w:pPr>
      <w:r>
        <w:rPr>
          <w:rFonts w:ascii="宋体" w:hAnsi="宋体" w:cs="宋体"/>
          <w:color w:val="000000"/>
          <w:kern w:val="0"/>
          <w:sz w:val="24"/>
        </w:rPr>
        <w:t>（四）当乙方工作岗位或者工作内容发生变更，从事告知书中未告知的存在职业病危害的作业时，甲方应与其协商变更告知书相关内容，重新签订职业病危害告知书。</w:t>
      </w:r>
    </w:p>
    <w:p>
      <w:pPr>
        <w:widowControl/>
        <w:spacing w:line="375" w:lineRule="atLeast"/>
        <w:ind w:firstLine="662"/>
        <w:jc w:val="left"/>
        <w:rPr>
          <w:rFonts w:hint="eastAsia" w:ascii="宋体" w:hAnsi="宋体" w:cs="宋体"/>
          <w:color w:val="000000"/>
          <w:kern w:val="0"/>
          <w:sz w:val="27"/>
          <w:szCs w:val="27"/>
        </w:rPr>
      </w:pPr>
      <w:r>
        <w:rPr>
          <w:rFonts w:ascii="宋体" w:hAnsi="宋体" w:cs="宋体"/>
          <w:color w:val="000000"/>
          <w:kern w:val="0"/>
          <w:sz w:val="24"/>
        </w:rPr>
        <w:t>（五）甲方未履行职业病危害告知义务，乙方有权拒绝从事存在职业病危害的作业，甲方不得因此解除与乙方所订立的劳动合同。</w:t>
      </w:r>
    </w:p>
    <w:p>
      <w:pPr>
        <w:widowControl/>
        <w:spacing w:line="375" w:lineRule="atLeast"/>
        <w:ind w:firstLine="662"/>
        <w:jc w:val="left"/>
        <w:rPr>
          <w:rFonts w:hint="eastAsia" w:ascii="宋体" w:hAnsi="宋体" w:cs="宋体"/>
          <w:color w:val="000000"/>
          <w:kern w:val="0"/>
          <w:sz w:val="24"/>
        </w:rPr>
      </w:pPr>
      <w:r>
        <w:rPr>
          <w:rFonts w:ascii="宋体" w:hAnsi="宋体" w:cs="宋体"/>
          <w:color w:val="000000"/>
          <w:kern w:val="0"/>
          <w:sz w:val="24"/>
        </w:rPr>
        <w:t>（六）职业病危害告知书作为甲方与乙方签订劳动合同的附件，具有同等的法律效力。</w:t>
      </w:r>
    </w:p>
    <w:p>
      <w:pPr>
        <w:widowControl/>
        <w:spacing w:line="375" w:lineRule="atLeast"/>
        <w:ind w:firstLine="662"/>
        <w:jc w:val="left"/>
        <w:rPr>
          <w:rFonts w:hint="eastAsia" w:ascii="宋体" w:hAnsi="宋体" w:cs="宋体"/>
          <w:color w:val="000000"/>
          <w:kern w:val="0"/>
          <w:sz w:val="27"/>
          <w:szCs w:val="27"/>
        </w:rPr>
      </w:pPr>
    </w:p>
    <w:p>
      <w:pPr>
        <w:widowControl/>
        <w:spacing w:line="375" w:lineRule="atLeast"/>
        <w:ind w:firstLine="662"/>
        <w:jc w:val="left"/>
        <w:rPr>
          <w:rFonts w:hint="eastAsia" w:ascii="宋体" w:hAnsi="宋体" w:cs="宋体"/>
          <w:color w:val="000000"/>
          <w:kern w:val="0"/>
          <w:sz w:val="27"/>
          <w:szCs w:val="27"/>
        </w:rPr>
      </w:pPr>
      <w:r>
        <w:rPr>
          <w:rFonts w:ascii="宋体" w:hAnsi="宋体" w:cs="宋体"/>
          <w:color w:val="000000"/>
          <w:kern w:val="0"/>
          <w:sz w:val="24"/>
        </w:rPr>
        <w:t>甲方（签章）                       乙方（签字）</w:t>
      </w:r>
    </w:p>
    <w:p>
      <w:pPr>
        <w:widowControl/>
        <w:spacing w:line="375" w:lineRule="atLeast"/>
        <w:ind w:firstLine="662"/>
        <w:jc w:val="left"/>
      </w:pPr>
      <w:r>
        <w:rPr>
          <w:rFonts w:ascii="宋体" w:hAnsi="宋体" w:cs="宋体"/>
          <w:color w:val="000000"/>
          <w:kern w:val="0"/>
          <w:sz w:val="24"/>
        </w:rPr>
        <w:t xml:space="preserve">     年  月   日                       年  月  日</w:t>
      </w:r>
    </w:p>
    <w:p>
      <w:pPr>
        <w:spacing w:before="156" w:beforeLines="50" w:after="156" w:afterLines="50" w:line="360" w:lineRule="auto"/>
        <w:ind w:firstLine="480" w:firstLineChars="200"/>
        <w:jc w:val="left"/>
        <w:rPr>
          <w:rFonts w:asciiTheme="minorEastAsia" w:hAnsiTheme="minorEastAsia"/>
          <w:sz w:val="24"/>
          <w:szCs w:val="24"/>
        </w:rPr>
      </w:pPr>
    </w:p>
    <w:p>
      <w:pPr>
        <w:widowControl/>
        <w:jc w:val="left"/>
        <w:rPr>
          <w:rFonts w:asciiTheme="minorEastAsia" w:hAnsiTheme="minorEastAsia"/>
          <w:sz w:val="24"/>
          <w:szCs w:val="24"/>
        </w:rPr>
      </w:pPr>
      <w:r>
        <w:rPr>
          <w:rFonts w:asciiTheme="minorEastAsia" w:hAnsiTheme="minorEastAsia"/>
          <w:sz w:val="24"/>
          <w:szCs w:val="24"/>
        </w:rPr>
        <w:br w:type="page"/>
      </w:r>
    </w:p>
    <w:p>
      <w:pPr>
        <w:widowControl/>
        <w:spacing w:line="375" w:lineRule="atLeast"/>
        <w:jc w:val="left"/>
        <w:rPr>
          <w:rFonts w:hint="eastAsia" w:ascii="宋体" w:hAnsi="宋体" w:cs="宋体"/>
          <w:color w:val="000000"/>
          <w:kern w:val="0"/>
          <w:sz w:val="27"/>
          <w:szCs w:val="27"/>
        </w:rPr>
      </w:pPr>
      <w:r>
        <w:rPr>
          <w:rFonts w:ascii="宋体" w:hAnsi="宋体" w:cs="宋体"/>
          <w:color w:val="000000"/>
          <w:kern w:val="0"/>
          <w:sz w:val="36"/>
          <w:szCs w:val="36"/>
        </w:rPr>
        <w:t>附件2</w:t>
      </w:r>
    </w:p>
    <w:p>
      <w:pPr>
        <w:widowControl/>
        <w:jc w:val="center"/>
        <w:rPr>
          <w:rFonts w:hint="eastAsia" w:ascii="宋体" w:hAnsi="宋体" w:cs="宋体"/>
          <w:color w:val="000000"/>
          <w:kern w:val="0"/>
          <w:sz w:val="27"/>
          <w:szCs w:val="27"/>
        </w:rPr>
      </w:pPr>
      <w:r>
        <w:rPr>
          <w:rFonts w:ascii="宋体" w:hAnsi="宋体" w:cs="宋体"/>
          <w:color w:val="000000"/>
          <w:kern w:val="0"/>
          <w:sz w:val="27"/>
          <w:szCs w:val="27"/>
        </w:rPr>
        <w:t xml:space="preserve"> </w:t>
      </w:r>
      <w:r>
        <w:rPr>
          <w:rFonts w:ascii="宋体" w:hAnsi="宋体" w:cs="宋体"/>
          <w:color w:val="000000"/>
          <w:kern w:val="0"/>
          <w:sz w:val="36"/>
          <w:szCs w:val="36"/>
        </w:rPr>
        <w:t>职业病危害告知卡示例</w:t>
      </w:r>
    </w:p>
    <w:p>
      <w:pPr>
        <w:widowControl/>
        <w:jc w:val="left"/>
        <w:rPr>
          <w:rFonts w:hint="eastAsia" w:ascii="宋体" w:hAnsi="宋体" w:cs="宋体"/>
          <w:color w:val="000000"/>
          <w:kern w:val="0"/>
          <w:sz w:val="27"/>
          <w:szCs w:val="27"/>
        </w:rPr>
      </w:pPr>
      <w:r>
        <w:rPr>
          <w:rFonts w:ascii="宋体" w:hAnsi="宋体" w:cs="宋体"/>
          <w:color w:val="000000"/>
          <w:kern w:val="0"/>
          <w:sz w:val="27"/>
          <w:szCs w:val="27"/>
        </w:rPr>
        <w:t xml:space="preserve"> </w:t>
      </w:r>
    </w:p>
    <w:tbl>
      <w:tblPr>
        <w:tblStyle w:val="2"/>
        <w:tblW w:w="0" w:type="auto"/>
        <w:jc w:val="center"/>
        <w:tblLayout w:type="autofit"/>
        <w:tblCellMar>
          <w:top w:w="0" w:type="dxa"/>
          <w:left w:w="0" w:type="dxa"/>
          <w:bottom w:w="0" w:type="dxa"/>
          <w:right w:w="0" w:type="dxa"/>
        </w:tblCellMar>
      </w:tblPr>
      <w:tblGrid>
        <w:gridCol w:w="2511"/>
        <w:gridCol w:w="4737"/>
        <w:gridCol w:w="2714"/>
      </w:tblGrid>
      <w:tr>
        <w:tblPrEx>
          <w:tblCellMar>
            <w:top w:w="0" w:type="dxa"/>
            <w:left w:w="0" w:type="dxa"/>
            <w:bottom w:w="0" w:type="dxa"/>
            <w:right w:w="0" w:type="dxa"/>
          </w:tblCellMar>
        </w:tblPrEx>
        <w:trPr>
          <w:trHeight w:val="518" w:hRule="atLeast"/>
          <w:jc w:val="center"/>
        </w:trPr>
        <w:tc>
          <w:tcPr>
            <w:tcW w:w="10076" w:type="dxa"/>
            <w:gridSpan w:val="3"/>
            <w:tcBorders>
              <w:top w:val="single" w:color="000000" w:sz="8" w:space="0"/>
              <w:left w:val="single" w:color="000000" w:sz="8" w:space="0"/>
              <w:bottom w:val="single" w:color="000000" w:sz="8" w:space="0"/>
              <w:right w:val="single" w:color="000000" w:sz="8" w:space="0"/>
            </w:tcBorders>
            <w:shd w:val="clear" w:color="auto" w:fill="FF0000"/>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color w:val="FFFFFF"/>
                <w:kern w:val="0"/>
                <w:sz w:val="28"/>
                <w:szCs w:val="28"/>
                <w:shd w:val="clear" w:color="auto" w:fill="FF0000"/>
              </w:rPr>
              <w:t>工作场所存在苯，对人体有损害，请注意防护</w:t>
            </w:r>
          </w:p>
        </w:tc>
      </w:tr>
      <w:tr>
        <w:tblPrEx>
          <w:tblCellMar>
            <w:top w:w="0" w:type="dxa"/>
            <w:left w:w="0" w:type="dxa"/>
            <w:bottom w:w="0" w:type="dxa"/>
            <w:right w:w="0" w:type="dxa"/>
          </w:tblCellMar>
        </w:tblPrEx>
        <w:trPr>
          <w:trHeight w:val="343" w:hRule="atLeast"/>
          <w:jc w:val="center"/>
        </w:trPr>
        <w:tc>
          <w:tcPr>
            <w:tcW w:w="2520" w:type="dxa"/>
            <w:vMerge w:val="restart"/>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tcPr>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w:t>
            </w:r>
          </w:p>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w:t>
            </w:r>
          </w:p>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w:t>
            </w:r>
          </w:p>
          <w:p>
            <w:pPr>
              <w:widowControl/>
              <w:spacing w:before="100" w:beforeAutospacing="1" w:after="100" w:afterAutospacing="1"/>
              <w:jc w:val="center"/>
              <w:rPr>
                <w:rFonts w:ascii="宋体" w:hAnsi="宋体" w:cs="宋体"/>
                <w:kern w:val="0"/>
                <w:sz w:val="24"/>
              </w:rPr>
            </w:pPr>
            <w:r>
              <w:rPr>
                <w:rFonts w:ascii="宋体" w:hAnsi="宋体" w:cs="宋体"/>
                <w:color w:val="000000"/>
                <w:kern w:val="0"/>
                <w:sz w:val="28"/>
                <w:szCs w:val="28"/>
              </w:rPr>
              <w:t>苯(皮)</w:t>
            </w:r>
          </w:p>
          <w:p>
            <w:pPr>
              <w:widowControl/>
              <w:spacing w:before="100" w:beforeAutospacing="1" w:after="100" w:afterAutospacing="1"/>
              <w:jc w:val="center"/>
              <w:rPr>
                <w:rFonts w:ascii="宋体" w:hAnsi="宋体" w:cs="宋体"/>
                <w:kern w:val="0"/>
                <w:sz w:val="24"/>
              </w:rPr>
            </w:pPr>
            <w:r>
              <w:rPr>
                <w:rFonts w:ascii="宋体" w:hAnsi="宋体" w:cs="宋体"/>
                <w:color w:val="000000"/>
                <w:kern w:val="0"/>
                <w:sz w:val="28"/>
                <w:szCs w:val="28"/>
              </w:rPr>
              <w:t>Benzene(skin)</w:t>
            </w:r>
          </w:p>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w:t>
            </w:r>
          </w:p>
        </w:tc>
        <w:tc>
          <w:tcPr>
            <w:tcW w:w="4807" w:type="dxa"/>
            <w:tcBorders>
              <w:top w:val="nil"/>
              <w:left w:val="nil"/>
              <w:bottom w:val="single" w:color="000000" w:sz="8" w:space="0"/>
              <w:right w:val="single" w:color="000000" w:sz="8" w:space="0"/>
            </w:tcBorders>
            <w:shd w:val="clear" w:color="auto" w:fill="3366FF"/>
            <w:tcMar>
              <w:top w:w="0" w:type="dxa"/>
              <w:left w:w="108" w:type="dxa"/>
              <w:bottom w:w="0" w:type="dxa"/>
              <w:right w:w="108" w:type="dxa"/>
            </w:tcMar>
            <w:vAlign w:val="bottom"/>
          </w:tcPr>
          <w:p>
            <w:pPr>
              <w:widowControl/>
              <w:spacing w:before="100" w:beforeAutospacing="1" w:after="100" w:afterAutospacing="1"/>
              <w:jc w:val="left"/>
              <w:rPr>
                <w:rFonts w:ascii="宋体" w:hAnsi="宋体" w:cs="宋体"/>
                <w:kern w:val="0"/>
                <w:sz w:val="24"/>
              </w:rPr>
            </w:pPr>
            <w:r>
              <w:rPr>
                <w:rFonts w:ascii="宋体" w:hAnsi="宋体" w:cs="宋体"/>
                <w:color w:val="FFFFFF"/>
                <w:kern w:val="0"/>
                <w:sz w:val="24"/>
              </w:rPr>
              <w:t>理化特性</w:t>
            </w:r>
          </w:p>
        </w:tc>
        <w:tc>
          <w:tcPr>
            <w:tcW w:w="2749" w:type="dxa"/>
            <w:tcBorders>
              <w:top w:val="nil"/>
              <w:left w:val="nil"/>
              <w:bottom w:val="single" w:color="000000" w:sz="8" w:space="0"/>
              <w:right w:val="single" w:color="000000" w:sz="8" w:space="0"/>
            </w:tcBorders>
            <w:shd w:val="clear" w:color="auto" w:fill="3366FF"/>
            <w:tcMar>
              <w:top w:w="0" w:type="dxa"/>
              <w:left w:w="108" w:type="dxa"/>
              <w:bottom w:w="0" w:type="dxa"/>
              <w:right w:w="108" w:type="dxa"/>
            </w:tcMar>
            <w:vAlign w:val="bottom"/>
          </w:tcPr>
          <w:p>
            <w:pPr>
              <w:widowControl/>
              <w:spacing w:before="100" w:beforeAutospacing="1" w:after="100" w:afterAutospacing="1"/>
              <w:jc w:val="left"/>
              <w:rPr>
                <w:rFonts w:ascii="宋体" w:hAnsi="宋体" w:cs="宋体"/>
                <w:kern w:val="0"/>
                <w:sz w:val="24"/>
              </w:rPr>
            </w:pPr>
            <w:r>
              <w:rPr>
                <w:rFonts w:ascii="宋体" w:hAnsi="宋体" w:cs="宋体"/>
                <w:color w:val="FFFFFF"/>
                <w:kern w:val="0"/>
                <w:sz w:val="24"/>
              </w:rPr>
              <w:t>健康危害</w:t>
            </w:r>
          </w:p>
        </w:tc>
      </w:tr>
      <w:tr>
        <w:tblPrEx>
          <w:tblCellMar>
            <w:top w:w="0" w:type="dxa"/>
            <w:left w:w="0" w:type="dxa"/>
            <w:bottom w:w="0" w:type="dxa"/>
            <w:right w:w="0" w:type="dxa"/>
          </w:tblCellMar>
        </w:tblPrEx>
        <w:trPr>
          <w:trHeight w:val="1389" w:hRule="atLeast"/>
          <w:jc w:val="center"/>
        </w:trPr>
        <w:tc>
          <w:tcPr>
            <w:tcW w:w="0" w:type="auto"/>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 w:val="24"/>
              </w:rPr>
            </w:pPr>
          </w:p>
        </w:tc>
        <w:tc>
          <w:tcPr>
            <w:tcW w:w="4807"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 w:val="24"/>
              </w:rPr>
            </w:pPr>
            <w:r>
              <w:rPr>
                <w:rFonts w:ascii="宋体" w:hAnsi="宋体" w:cs="宋体"/>
                <w:color w:val="000000"/>
                <w:kern w:val="0"/>
                <w:sz w:val="24"/>
              </w:rPr>
              <w:t>具有特殊芳香气味的无色油状液体，相对分子质量78，易燃、易挥发。不溶于水，可与乙醚、乙醇、丙酮、汽油和二硫化碳等有机溶剂混溶；遇氧化剂或卤素剧烈反应；苯蒸气与空气形成爆炸性混合物，遇明火、高热极易燃烧爆炸。</w:t>
            </w:r>
          </w:p>
        </w:tc>
        <w:tc>
          <w:tcPr>
            <w:tcW w:w="2749"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 w:val="24"/>
              </w:rPr>
            </w:pPr>
            <w:r>
              <w:rPr>
                <w:rFonts w:ascii="宋体" w:hAnsi="宋体" w:cs="宋体"/>
                <w:color w:val="000000"/>
                <w:kern w:val="0"/>
                <w:sz w:val="24"/>
              </w:rPr>
              <w:t>可经皮肤、呼吸道进入人体。</w:t>
            </w:r>
          </w:p>
          <w:p>
            <w:pPr>
              <w:widowControl/>
              <w:spacing w:before="100" w:beforeAutospacing="1" w:after="100" w:afterAutospacing="1"/>
              <w:jc w:val="left"/>
              <w:rPr>
                <w:rFonts w:ascii="宋体" w:hAnsi="宋体" w:cs="宋体"/>
                <w:kern w:val="0"/>
                <w:sz w:val="24"/>
              </w:rPr>
            </w:pPr>
            <w:r>
              <w:rPr>
                <w:rFonts w:ascii="宋体" w:hAnsi="宋体" w:cs="宋体"/>
                <w:color w:val="000000"/>
                <w:kern w:val="0"/>
                <w:sz w:val="24"/>
              </w:rPr>
              <w:t>主要损害神经和造血系统。</w:t>
            </w:r>
          </w:p>
          <w:p>
            <w:pPr>
              <w:widowControl/>
              <w:spacing w:before="100" w:beforeAutospacing="1" w:after="100" w:afterAutospacing="1"/>
              <w:jc w:val="left"/>
              <w:rPr>
                <w:rFonts w:ascii="宋体" w:hAnsi="宋体" w:cs="宋体"/>
                <w:kern w:val="0"/>
                <w:sz w:val="24"/>
              </w:rPr>
            </w:pPr>
            <w:r>
              <w:rPr>
                <w:rFonts w:ascii="宋体" w:hAnsi="宋体" w:cs="宋体"/>
                <w:color w:val="000000"/>
                <w:kern w:val="0"/>
                <w:sz w:val="24"/>
              </w:rPr>
              <w:t>短时间大量接触可引起头晕、头痛、恶心、呕吐、嗜睡、步态不稳，重者发生抽搐、昏迷。长期过量接触可引起白细胞减少、再生障碍性贫血、白血病。</w:t>
            </w:r>
          </w:p>
        </w:tc>
      </w:tr>
      <w:tr>
        <w:tblPrEx>
          <w:tblCellMar>
            <w:top w:w="0" w:type="dxa"/>
            <w:left w:w="0" w:type="dxa"/>
            <w:bottom w:w="0" w:type="dxa"/>
            <w:right w:w="0" w:type="dxa"/>
          </w:tblCellMar>
        </w:tblPrEx>
        <w:trPr>
          <w:trHeight w:val="143" w:hRule="atLeast"/>
          <w:jc w:val="center"/>
        </w:trPr>
        <w:tc>
          <w:tcPr>
            <w:tcW w:w="2520" w:type="dxa"/>
            <w:vMerge w:val="restart"/>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tcPr>
          <w:p>
            <w:pPr>
              <w:widowControl/>
              <w:spacing w:before="100" w:beforeAutospacing="1" w:after="100" w:afterAutospacing="1"/>
              <w:ind w:firstLine="240"/>
              <w:jc w:val="left"/>
              <w:rPr>
                <w:rFonts w:ascii="宋体" w:hAnsi="宋体" w:cs="宋体"/>
                <w:kern w:val="0"/>
                <w:sz w:val="24"/>
              </w:rPr>
            </w:pPr>
            <w:r>
              <w:rPr>
                <w:rFonts w:ascii="宋体" w:hAnsi="宋体" w:cs="宋体"/>
                <w:kern w:val="0"/>
                <w:sz w:val="24"/>
              </w:rPr>
              <w:t xml:space="preserve"> </w:t>
            </w:r>
          </w:p>
          <w:p>
            <w:pPr>
              <w:widowControl/>
              <w:spacing w:before="100" w:beforeAutospacing="1" w:after="100" w:afterAutospacing="1" w:line="143" w:lineRule="atLeast"/>
              <w:ind w:firstLine="420"/>
              <w:jc w:val="left"/>
              <w:rPr>
                <w:rFonts w:ascii="宋体" w:hAnsi="宋体" w:cs="宋体"/>
                <w:kern w:val="0"/>
                <w:sz w:val="24"/>
              </w:rPr>
            </w:pPr>
            <w:r>
              <w:rPr>
                <w:rFonts w:ascii="宋体" w:hAnsi="宋体" w:cs="宋体"/>
                <w:kern w:val="0"/>
                <w:sz w:val="24"/>
              </w:rPr>
              <w:t xml:space="preserve"> </w:t>
            </w:r>
          </w:p>
        </w:tc>
        <w:tc>
          <w:tcPr>
            <w:tcW w:w="7556" w:type="dxa"/>
            <w:gridSpan w:val="2"/>
            <w:tcBorders>
              <w:top w:val="nil"/>
              <w:left w:val="nil"/>
              <w:bottom w:val="single" w:color="000000" w:sz="8" w:space="0"/>
              <w:right w:val="single" w:color="000000" w:sz="8" w:space="0"/>
            </w:tcBorders>
            <w:shd w:val="clear" w:color="auto" w:fill="3366FF"/>
            <w:tcMar>
              <w:top w:w="0" w:type="dxa"/>
              <w:left w:w="108" w:type="dxa"/>
              <w:bottom w:w="0" w:type="dxa"/>
              <w:right w:w="108" w:type="dxa"/>
            </w:tcMar>
            <w:vAlign w:val="center"/>
          </w:tcPr>
          <w:p>
            <w:pPr>
              <w:widowControl/>
              <w:spacing w:before="100" w:beforeAutospacing="1" w:after="100" w:afterAutospacing="1" w:line="143" w:lineRule="atLeast"/>
              <w:jc w:val="left"/>
              <w:rPr>
                <w:rFonts w:ascii="宋体" w:hAnsi="宋体" w:cs="宋体"/>
                <w:kern w:val="0"/>
                <w:sz w:val="24"/>
              </w:rPr>
            </w:pPr>
            <w:r>
              <w:rPr>
                <w:rFonts w:ascii="宋体" w:hAnsi="宋体" w:cs="宋体"/>
                <w:color w:val="FFFFFF"/>
                <w:kern w:val="0"/>
                <w:sz w:val="24"/>
              </w:rPr>
              <w:t>应急处理</w:t>
            </w:r>
          </w:p>
        </w:tc>
      </w:tr>
      <w:tr>
        <w:tblPrEx>
          <w:tblCellMar>
            <w:top w:w="0" w:type="dxa"/>
            <w:left w:w="0" w:type="dxa"/>
            <w:bottom w:w="0" w:type="dxa"/>
            <w:right w:w="0" w:type="dxa"/>
          </w:tblCellMar>
        </w:tblPrEx>
        <w:trPr>
          <w:trHeight w:val="153" w:hRule="atLeast"/>
          <w:jc w:val="center"/>
        </w:trPr>
        <w:tc>
          <w:tcPr>
            <w:tcW w:w="0" w:type="auto"/>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 w:val="24"/>
              </w:rPr>
            </w:pPr>
          </w:p>
        </w:tc>
        <w:tc>
          <w:tcPr>
            <w:tcW w:w="7556"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pPr>
              <w:widowControl/>
              <w:spacing w:before="100" w:beforeAutospacing="1" w:after="100" w:afterAutospacing="1" w:line="153" w:lineRule="atLeast"/>
              <w:jc w:val="left"/>
              <w:rPr>
                <w:rFonts w:ascii="宋体" w:hAnsi="宋体" w:cs="宋体"/>
                <w:kern w:val="0"/>
                <w:sz w:val="24"/>
              </w:rPr>
            </w:pPr>
            <w:r>
              <w:rPr>
                <w:rFonts w:ascii="宋体" w:hAnsi="宋体" w:cs="宋体"/>
                <w:color w:val="000000"/>
                <w:kern w:val="0"/>
                <w:sz w:val="24"/>
              </w:rPr>
              <w:t>抢救人员穿戴防护用具；立即将患者移至空气新鲜处，去除污染衣物；注意保暖、安静；皮肤污染时用肥皂水清洗，溅入眼内时用流动清水或生理盐水冲洗，各至少20分钟；呼吸困难时给与吸氧，必要时用合适的呼吸器进行人工呼吸；立即与医疗急救单位联系抢救。</w:t>
            </w:r>
          </w:p>
        </w:tc>
      </w:tr>
      <w:tr>
        <w:tblPrEx>
          <w:tblCellMar>
            <w:top w:w="0" w:type="dxa"/>
            <w:left w:w="0" w:type="dxa"/>
            <w:bottom w:w="0" w:type="dxa"/>
            <w:right w:w="0" w:type="dxa"/>
          </w:tblCellMar>
        </w:tblPrEx>
        <w:trPr>
          <w:trHeight w:val="287" w:hRule="atLeast"/>
          <w:jc w:val="center"/>
        </w:trPr>
        <w:tc>
          <w:tcPr>
            <w:tcW w:w="0" w:type="auto"/>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 w:val="24"/>
              </w:rPr>
            </w:pPr>
          </w:p>
        </w:tc>
        <w:tc>
          <w:tcPr>
            <w:tcW w:w="7556" w:type="dxa"/>
            <w:gridSpan w:val="2"/>
            <w:tcBorders>
              <w:top w:val="nil"/>
              <w:left w:val="nil"/>
              <w:bottom w:val="single" w:color="000000" w:sz="8" w:space="0"/>
              <w:right w:val="single" w:color="000000" w:sz="8" w:space="0"/>
            </w:tcBorders>
            <w:shd w:val="clear" w:color="auto" w:fill="3366FF"/>
            <w:tcMar>
              <w:top w:w="0" w:type="dxa"/>
              <w:left w:w="108" w:type="dxa"/>
              <w:bottom w:w="0" w:type="dxa"/>
              <w:right w:w="108" w:type="dxa"/>
            </w:tcMar>
            <w:vAlign w:val="bottom"/>
          </w:tcPr>
          <w:p>
            <w:pPr>
              <w:widowControl/>
              <w:spacing w:before="100" w:beforeAutospacing="1" w:after="100" w:afterAutospacing="1"/>
              <w:jc w:val="left"/>
              <w:rPr>
                <w:rFonts w:ascii="宋体" w:hAnsi="宋体" w:cs="宋体"/>
                <w:kern w:val="0"/>
                <w:sz w:val="24"/>
              </w:rPr>
            </w:pPr>
            <w:r>
              <w:rPr>
                <w:rFonts w:ascii="宋体" w:hAnsi="宋体" w:cs="宋体"/>
                <w:color w:val="FFFFFF"/>
                <w:kern w:val="0"/>
                <w:sz w:val="24"/>
              </w:rPr>
              <w:t>防护措施</w:t>
            </w:r>
          </w:p>
        </w:tc>
      </w:tr>
      <w:tr>
        <w:tblPrEx>
          <w:tblCellMar>
            <w:top w:w="0" w:type="dxa"/>
            <w:left w:w="0" w:type="dxa"/>
            <w:bottom w:w="0" w:type="dxa"/>
            <w:right w:w="0" w:type="dxa"/>
          </w:tblCellMar>
        </w:tblPrEx>
        <w:trPr>
          <w:trHeight w:val="153" w:hRule="atLeast"/>
          <w:jc w:val="center"/>
        </w:trPr>
        <w:tc>
          <w:tcPr>
            <w:tcW w:w="0" w:type="auto"/>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 w:val="24"/>
              </w:rPr>
            </w:pPr>
          </w:p>
        </w:tc>
        <w:tc>
          <w:tcPr>
            <w:tcW w:w="7556"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before="100" w:beforeAutospacing="1" w:after="100" w:afterAutospacing="1" w:line="153" w:lineRule="atLeast"/>
              <w:jc w:val="left"/>
              <w:rPr>
                <w:rFonts w:ascii="宋体" w:hAnsi="宋体" w:cs="宋体"/>
                <w:kern w:val="0"/>
                <w:sz w:val="24"/>
              </w:rPr>
            </w:pPr>
            <w:r>
              <w:rPr>
                <w:rFonts w:ascii="宋体" w:hAnsi="宋体" w:cs="宋体"/>
                <w:color w:val="000000"/>
                <w:kern w:val="0"/>
                <w:sz w:val="24"/>
              </w:rPr>
              <w:t>禁止明火、火花，高热，使用防爆电器和照明设备。工作场所禁止饮食、吸烟。</w:t>
            </w:r>
          </w:p>
        </w:tc>
      </w:tr>
      <w:tr>
        <w:tblPrEx>
          <w:tblCellMar>
            <w:top w:w="0" w:type="dxa"/>
            <w:left w:w="0" w:type="dxa"/>
            <w:bottom w:w="0" w:type="dxa"/>
            <w:right w:w="0" w:type="dxa"/>
          </w:tblCellMar>
        </w:tblPrEx>
        <w:trPr>
          <w:trHeight w:val="1693" w:hRule="atLeast"/>
          <w:jc w:val="center"/>
        </w:trPr>
        <w:tc>
          <w:tcPr>
            <w:tcW w:w="0" w:type="auto"/>
            <w:vMerge w:val="continue"/>
            <w:tcBorders>
              <w:top w:val="nil"/>
              <w:left w:val="single" w:color="000000" w:sz="8" w:space="0"/>
              <w:bottom w:val="single" w:color="000000" w:sz="8" w:space="0"/>
              <w:right w:val="single" w:color="000000" w:sz="8" w:space="0"/>
            </w:tcBorders>
            <w:vAlign w:val="center"/>
          </w:tcPr>
          <w:p>
            <w:pPr>
              <w:widowControl/>
              <w:jc w:val="left"/>
              <w:rPr>
                <w:rFonts w:ascii="宋体" w:hAnsi="宋体" w:cs="宋体"/>
                <w:kern w:val="0"/>
                <w:sz w:val="24"/>
              </w:rPr>
            </w:pPr>
          </w:p>
        </w:tc>
        <w:tc>
          <w:tcPr>
            <w:tcW w:w="7556" w:type="dxa"/>
            <w:gridSpan w:val="2"/>
            <w:tcBorders>
              <w:top w:val="nil"/>
              <w:left w:val="nil"/>
              <w:bottom w:val="single" w:color="000000" w:sz="8" w:space="0"/>
              <w:right w:val="single" w:color="000000" w:sz="8" w:space="0"/>
            </w:tcBorders>
            <w:shd w:val="clear" w:color="auto" w:fill="FFFFFF"/>
            <w:tcMar>
              <w:top w:w="0" w:type="dxa"/>
              <w:left w:w="108" w:type="dxa"/>
              <w:bottom w:w="0" w:type="dxa"/>
              <w:right w:w="108" w:type="dxa"/>
            </w:tcMar>
          </w:tcPr>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w:t>
            </w:r>
          </w:p>
          <w:p>
            <w:pPr>
              <w:widowControl/>
              <w:spacing w:before="100" w:beforeAutospacing="1" w:after="100" w:afterAutospacing="1"/>
              <w:jc w:val="left"/>
              <w:rPr>
                <w:rFonts w:ascii="宋体" w:hAnsi="宋体" w:cs="宋体"/>
                <w:kern w:val="0"/>
                <w:sz w:val="24"/>
              </w:rPr>
            </w:pPr>
            <w:r>
              <w:rPr>
                <w:rFonts w:ascii="宋体" w:hAnsi="宋体" w:cs="宋体"/>
                <w:kern w:val="0"/>
                <w:sz w:val="24"/>
              </w:rPr>
              <w:t>必须戴防毒面具 注意通风 必须戴防护手套 必须戴防护眼镜 必须穿防护服</w:t>
            </w:r>
          </w:p>
        </w:tc>
      </w:tr>
      <w:tr>
        <w:tblPrEx>
          <w:tblCellMar>
            <w:top w:w="0" w:type="dxa"/>
            <w:left w:w="0" w:type="dxa"/>
            <w:bottom w:w="0" w:type="dxa"/>
            <w:right w:w="0" w:type="dxa"/>
          </w:tblCellMar>
        </w:tblPrEx>
        <w:trPr>
          <w:trHeight w:val="498" w:hRule="atLeast"/>
          <w:jc w:val="center"/>
        </w:trPr>
        <w:tc>
          <w:tcPr>
            <w:tcW w:w="10076" w:type="dxa"/>
            <w:gridSpan w:val="3"/>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before="100" w:beforeAutospacing="1" w:after="100" w:afterAutospacing="1"/>
              <w:jc w:val="left"/>
              <w:rPr>
                <w:rFonts w:ascii="宋体" w:hAnsi="宋体" w:cs="宋体"/>
                <w:kern w:val="0"/>
                <w:sz w:val="24"/>
              </w:rPr>
            </w:pPr>
            <w:r>
              <w:rPr>
                <w:rFonts w:ascii="宋体" w:hAnsi="宋体" w:cs="宋体"/>
                <w:kern w:val="0"/>
                <w:sz w:val="22"/>
              </w:rPr>
              <w:t>标准限值：xxx                   检测数据：xxx                 检测日期：xxxx年x月x日</w:t>
            </w:r>
          </w:p>
        </w:tc>
      </w:tr>
      <w:tr>
        <w:tblPrEx>
          <w:tblCellMar>
            <w:top w:w="0" w:type="dxa"/>
            <w:left w:w="0" w:type="dxa"/>
            <w:bottom w:w="0" w:type="dxa"/>
            <w:right w:w="0" w:type="dxa"/>
          </w:tblCellMar>
        </w:tblPrEx>
        <w:trPr>
          <w:trHeight w:val="153" w:hRule="atLeast"/>
          <w:jc w:val="center"/>
        </w:trPr>
        <w:tc>
          <w:tcPr>
            <w:tcW w:w="10076" w:type="dxa"/>
            <w:gridSpan w:val="3"/>
            <w:tcBorders>
              <w:top w:val="nil"/>
              <w:left w:val="single" w:color="000000" w:sz="8" w:space="0"/>
              <w:bottom w:val="single" w:color="000000" w:sz="8" w:space="0"/>
              <w:right w:val="single" w:color="000000" w:sz="8" w:space="0"/>
            </w:tcBorders>
            <w:shd w:val="clear" w:color="auto" w:fill="FF0000"/>
            <w:tcMar>
              <w:top w:w="0" w:type="dxa"/>
              <w:left w:w="108" w:type="dxa"/>
              <w:bottom w:w="0" w:type="dxa"/>
              <w:right w:w="108" w:type="dxa"/>
            </w:tcMar>
            <w:vAlign w:val="center"/>
          </w:tcPr>
          <w:p>
            <w:pPr>
              <w:widowControl/>
              <w:spacing w:before="100" w:beforeAutospacing="1" w:after="100" w:afterAutospacing="1" w:line="153" w:lineRule="atLeast"/>
              <w:ind w:firstLine="620"/>
              <w:jc w:val="left"/>
              <w:rPr>
                <w:rFonts w:ascii="宋体" w:hAnsi="宋体" w:cs="宋体"/>
                <w:kern w:val="0"/>
                <w:sz w:val="24"/>
              </w:rPr>
            </w:pPr>
            <w:r>
              <w:rPr>
                <w:rFonts w:ascii="宋体" w:hAnsi="宋体" w:cs="宋体"/>
                <w:color w:val="FFFFFF"/>
                <w:kern w:val="0"/>
                <w:sz w:val="24"/>
              </w:rPr>
              <w:t>急救电话：120       消防电话：119       职业卫生咨询电话 :xxxxxxxx</w:t>
            </w:r>
          </w:p>
        </w:tc>
      </w:tr>
    </w:tbl>
    <w:p>
      <w:pPr>
        <w:widowControl/>
        <w:jc w:val="left"/>
        <w:rPr>
          <w:rFonts w:hint="eastAsia" w:ascii="宋体" w:hAnsi="宋体" w:cs="宋体"/>
          <w:color w:val="000000"/>
          <w:kern w:val="0"/>
          <w:sz w:val="27"/>
          <w:szCs w:val="27"/>
        </w:rPr>
      </w:pPr>
      <w:r>
        <w:rPr>
          <w:rFonts w:ascii="宋体" w:hAnsi="宋体" w:cs="宋体"/>
          <w:color w:val="000000"/>
          <w:kern w:val="0"/>
          <w:sz w:val="27"/>
          <w:szCs w:val="27"/>
        </w:rPr>
        <w:t xml:space="preserve"> </w:t>
      </w:r>
    </w:p>
    <w:p>
      <w:pPr>
        <w:widowControl/>
        <w:jc w:val="left"/>
        <w:rPr>
          <w:rFonts w:hint="eastAsia" w:ascii="宋体" w:hAnsi="宋体" w:cs="宋体"/>
          <w:color w:val="000000"/>
          <w:kern w:val="0"/>
          <w:sz w:val="27"/>
          <w:szCs w:val="27"/>
        </w:rPr>
      </w:pPr>
      <w:r>
        <w:rPr>
          <w:rFonts w:hint="eastAsia" w:ascii="宋体" w:hAnsi="宋体" w:cs="宋体"/>
          <w:color w:val="000000"/>
          <w:kern w:val="0"/>
          <w:sz w:val="27"/>
          <w:szCs w:val="27"/>
        </w:rPr>
        <w:br w:type="page"/>
      </w:r>
    </w:p>
    <w:p>
      <w:pPr>
        <w:widowControl/>
        <w:jc w:val="left"/>
        <w:rPr>
          <w:rFonts w:hint="eastAsia" w:ascii="宋体" w:hAnsi="宋体" w:cs="宋体"/>
          <w:color w:val="000000"/>
          <w:kern w:val="0"/>
          <w:sz w:val="27"/>
          <w:szCs w:val="27"/>
        </w:rPr>
      </w:pPr>
      <w:r>
        <w:rPr>
          <w:rFonts w:ascii="宋体" w:hAnsi="宋体" w:cs="宋体"/>
          <w:color w:val="000000"/>
          <w:kern w:val="0"/>
          <w:sz w:val="36"/>
          <w:szCs w:val="36"/>
        </w:rPr>
        <w:t>附件3</w:t>
      </w:r>
    </w:p>
    <w:p>
      <w:pPr>
        <w:widowControl/>
        <w:jc w:val="center"/>
        <w:rPr>
          <w:rFonts w:hint="eastAsia" w:ascii="宋体" w:hAnsi="宋体" w:cs="宋体"/>
          <w:color w:val="000000"/>
          <w:kern w:val="0"/>
          <w:sz w:val="27"/>
          <w:szCs w:val="27"/>
        </w:rPr>
      </w:pPr>
      <w:r>
        <w:rPr>
          <w:rFonts w:ascii="宋体" w:hAnsi="宋体" w:cs="宋体"/>
          <w:color w:val="000000"/>
          <w:kern w:val="0"/>
          <w:sz w:val="27"/>
          <w:szCs w:val="27"/>
        </w:rPr>
        <w:t xml:space="preserve"> </w:t>
      </w:r>
      <w:r>
        <w:rPr>
          <w:rFonts w:ascii="宋体" w:hAnsi="宋体" w:cs="宋体"/>
          <w:color w:val="000000"/>
          <w:kern w:val="0"/>
          <w:sz w:val="36"/>
          <w:szCs w:val="36"/>
        </w:rPr>
        <w:t>中文警示说明示例</w:t>
      </w:r>
    </w:p>
    <w:p>
      <w:pPr>
        <w:widowControl/>
        <w:jc w:val="center"/>
        <w:rPr>
          <w:rFonts w:hint="eastAsia" w:ascii="宋体" w:hAnsi="宋体" w:cs="宋体"/>
          <w:color w:val="000000"/>
          <w:kern w:val="0"/>
          <w:sz w:val="27"/>
          <w:szCs w:val="27"/>
        </w:rPr>
      </w:pPr>
      <w:r>
        <w:rPr>
          <w:rFonts w:ascii="宋体" w:hAnsi="宋体" w:cs="宋体"/>
          <w:color w:val="000000"/>
          <w:kern w:val="0"/>
          <w:sz w:val="27"/>
          <w:szCs w:val="27"/>
        </w:rPr>
        <w:t xml:space="preserve"> </w:t>
      </w:r>
    </w:p>
    <w:p>
      <w:pPr>
        <w:widowControl/>
        <w:jc w:val="left"/>
        <w:rPr>
          <w:rFonts w:hint="eastAsia" w:ascii="宋体" w:hAnsi="宋体" w:cs="宋体"/>
          <w:color w:val="000000"/>
          <w:kern w:val="0"/>
          <w:sz w:val="27"/>
          <w:szCs w:val="27"/>
        </w:rPr>
      </w:pPr>
      <w:r>
        <w:rPr>
          <w:rFonts w:ascii="宋体" w:hAnsi="宋体" w:cs="宋体"/>
          <w:color w:val="000000"/>
          <w:kern w:val="0"/>
          <w:sz w:val="27"/>
          <w:szCs w:val="27"/>
        </w:rPr>
        <w:t xml:space="preserve"> </w:t>
      </w:r>
    </w:p>
    <w:tbl>
      <w:tblPr>
        <w:tblStyle w:val="2"/>
        <w:tblW w:w="0" w:type="auto"/>
        <w:tblInd w:w="108" w:type="dxa"/>
        <w:tblBorders>
          <w:top w:val="single" w:color="auto" w:sz="8" w:space="0"/>
          <w:left w:val="single" w:color="auto" w:sz="8" w:space="0"/>
          <w:bottom w:val="single" w:color="auto" w:sz="8" w:space="0"/>
          <w:right w:val="single" w:color="auto" w:sz="8" w:space="0"/>
          <w:insideH w:val="single" w:color="auto" w:sz="8" w:space="0"/>
          <w:insideV w:val="outset" w:color="F0F0F0" w:sz="6" w:space="0"/>
        </w:tblBorders>
        <w:tblLayout w:type="autofit"/>
        <w:tblCellMar>
          <w:top w:w="0" w:type="dxa"/>
          <w:left w:w="0" w:type="dxa"/>
          <w:bottom w:w="0" w:type="dxa"/>
          <w:right w:w="0" w:type="dxa"/>
        </w:tblCellMar>
      </w:tblPr>
      <w:tblGrid>
        <w:gridCol w:w="1634"/>
        <w:gridCol w:w="7438"/>
      </w:tblGrid>
      <w:tr>
        <w:tblPrEx>
          <w:tblBorders>
            <w:top w:val="single" w:color="auto" w:sz="8" w:space="0"/>
            <w:left w:val="single" w:color="auto" w:sz="8" w:space="0"/>
            <w:bottom w:val="single" w:color="auto" w:sz="8" w:space="0"/>
            <w:right w:val="single" w:color="auto" w:sz="8" w:space="0"/>
            <w:insideH w:val="single" w:color="auto" w:sz="8" w:space="0"/>
            <w:insideV w:val="outset" w:color="F0F0F0" w:sz="6" w:space="0"/>
          </w:tblBorders>
          <w:tblCellMar>
            <w:top w:w="0" w:type="dxa"/>
            <w:left w:w="0" w:type="dxa"/>
            <w:bottom w:w="0" w:type="dxa"/>
            <w:right w:w="0" w:type="dxa"/>
          </w:tblCellMar>
        </w:tblPrEx>
        <w:trPr>
          <w:trHeight w:val="930" w:hRule="atLeast"/>
        </w:trPr>
        <w:tc>
          <w:tcPr>
            <w:tcW w:w="9072" w:type="dxa"/>
            <w:gridSpan w:val="2"/>
            <w:shd w:val="clear" w:color="auto" w:fill="auto"/>
            <w:tcMar>
              <w:top w:w="0" w:type="dxa"/>
              <w:left w:w="108" w:type="dxa"/>
              <w:bottom w:w="0" w:type="dxa"/>
              <w:right w:w="108" w:type="dxa"/>
            </w:tcMar>
          </w:tcPr>
          <w:p>
            <w:pPr>
              <w:widowControl/>
              <w:spacing w:before="100" w:beforeAutospacing="1" w:after="100" w:afterAutospacing="1"/>
              <w:jc w:val="center"/>
              <w:rPr>
                <w:rFonts w:ascii="宋体" w:hAnsi="宋体" w:cs="宋体"/>
                <w:kern w:val="0"/>
                <w:sz w:val="24"/>
              </w:rPr>
            </w:pPr>
            <w:r>
              <w:rPr>
                <w:rFonts w:ascii="宋体" w:hAnsi="宋体" w:cs="宋体"/>
                <w:kern w:val="0"/>
                <w:sz w:val="24"/>
              </w:rPr>
              <w:t>甲醛</w:t>
            </w:r>
          </w:p>
          <w:p>
            <w:pPr>
              <w:widowControl/>
              <w:spacing w:before="100" w:beforeAutospacing="1" w:after="100" w:afterAutospacing="1"/>
              <w:jc w:val="center"/>
              <w:rPr>
                <w:rFonts w:ascii="宋体" w:hAnsi="宋体" w:cs="宋体"/>
                <w:kern w:val="0"/>
                <w:sz w:val="24"/>
              </w:rPr>
            </w:pPr>
            <w:r>
              <w:rPr>
                <w:rFonts w:ascii="宋体" w:hAnsi="宋体" w:cs="宋体"/>
                <w:kern w:val="0"/>
                <w:sz w:val="24"/>
              </w:rPr>
              <w:t>分子式：HCHO    分子量 30.03</w:t>
            </w:r>
          </w:p>
        </w:tc>
      </w:tr>
      <w:tr>
        <w:tblPrEx>
          <w:tblBorders>
            <w:top w:val="single" w:color="auto" w:sz="8" w:space="0"/>
            <w:left w:val="single" w:color="auto" w:sz="8" w:space="0"/>
            <w:bottom w:val="single" w:color="auto" w:sz="8" w:space="0"/>
            <w:right w:val="single" w:color="auto" w:sz="8" w:space="0"/>
            <w:insideH w:val="single" w:color="auto" w:sz="8" w:space="0"/>
            <w:insideV w:val="outset" w:color="F0F0F0" w:sz="6" w:space="0"/>
          </w:tblBorders>
          <w:tblCellMar>
            <w:top w:w="0" w:type="dxa"/>
            <w:left w:w="0" w:type="dxa"/>
            <w:bottom w:w="0" w:type="dxa"/>
            <w:right w:w="0" w:type="dxa"/>
          </w:tblCellMar>
        </w:tblPrEx>
        <w:trPr>
          <w:trHeight w:val="1293" w:hRule="atLeast"/>
        </w:trPr>
        <w:tc>
          <w:tcPr>
            <w:tcW w:w="1634" w:type="dxa"/>
            <w:shd w:val="clear" w:color="auto" w:fill="auto"/>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4"/>
              </w:rPr>
              <w:t>理化特性</w:t>
            </w:r>
          </w:p>
        </w:tc>
        <w:tc>
          <w:tcPr>
            <w:tcW w:w="7438" w:type="dxa"/>
            <w:shd w:val="clear" w:color="auto" w:fill="auto"/>
            <w:tcMar>
              <w:top w:w="0" w:type="dxa"/>
              <w:left w:w="108" w:type="dxa"/>
              <w:bottom w:w="0" w:type="dxa"/>
              <w:right w:w="108" w:type="dxa"/>
            </w:tcMar>
            <w:vAlign w:val="center"/>
          </w:tcPr>
          <w:p>
            <w:pPr>
              <w:widowControl/>
              <w:spacing w:before="100" w:beforeAutospacing="1" w:after="100" w:afterAutospacing="1"/>
              <w:ind w:firstLine="480"/>
              <w:jc w:val="left"/>
              <w:rPr>
                <w:rFonts w:ascii="宋体" w:hAnsi="宋体" w:cs="宋体"/>
                <w:kern w:val="0"/>
                <w:sz w:val="24"/>
              </w:rPr>
            </w:pPr>
            <w:r>
              <w:rPr>
                <w:rFonts w:ascii="宋体" w:hAnsi="宋体" w:cs="宋体"/>
                <w:kern w:val="0"/>
                <w:sz w:val="24"/>
              </w:rPr>
              <w:t>常温为无色、有刺激性气味的气体，沸点：―19.5℃，能溶于水、醇、醚，水溶液称福尔马林，杀菌能力极强。15℃以下易聚合，置空气中氧化为甲酸。</w:t>
            </w:r>
          </w:p>
        </w:tc>
      </w:tr>
      <w:tr>
        <w:tblPrEx>
          <w:tblBorders>
            <w:top w:val="single" w:color="auto" w:sz="8" w:space="0"/>
            <w:left w:val="single" w:color="auto" w:sz="8" w:space="0"/>
            <w:bottom w:val="single" w:color="auto" w:sz="8" w:space="0"/>
            <w:right w:val="single" w:color="auto" w:sz="8" w:space="0"/>
            <w:insideH w:val="single" w:color="auto" w:sz="8" w:space="0"/>
            <w:insideV w:val="outset" w:color="F0F0F0" w:sz="6" w:space="0"/>
          </w:tblBorders>
          <w:tblCellMar>
            <w:top w:w="0" w:type="dxa"/>
            <w:left w:w="0" w:type="dxa"/>
            <w:bottom w:w="0" w:type="dxa"/>
            <w:right w:w="0" w:type="dxa"/>
          </w:tblCellMar>
        </w:tblPrEx>
        <w:trPr>
          <w:trHeight w:val="549" w:hRule="atLeast"/>
        </w:trPr>
        <w:tc>
          <w:tcPr>
            <w:tcW w:w="1634" w:type="dxa"/>
            <w:shd w:val="clear" w:color="auto" w:fill="auto"/>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4"/>
              </w:rPr>
              <w:t>可能产生的危害后果</w:t>
            </w:r>
          </w:p>
        </w:tc>
        <w:tc>
          <w:tcPr>
            <w:tcW w:w="7438" w:type="dxa"/>
            <w:shd w:val="clear" w:color="auto" w:fill="auto"/>
            <w:tcMar>
              <w:top w:w="0" w:type="dxa"/>
              <w:left w:w="108" w:type="dxa"/>
              <w:bottom w:w="0" w:type="dxa"/>
              <w:right w:w="108" w:type="dxa"/>
            </w:tcMar>
            <w:vAlign w:val="center"/>
          </w:tcPr>
          <w:p>
            <w:pPr>
              <w:widowControl/>
              <w:spacing w:before="100" w:beforeAutospacing="1" w:after="100" w:afterAutospacing="1"/>
              <w:ind w:firstLine="480"/>
              <w:rPr>
                <w:rFonts w:ascii="宋体" w:hAnsi="宋体" w:cs="宋体"/>
                <w:kern w:val="0"/>
                <w:sz w:val="24"/>
              </w:rPr>
            </w:pPr>
            <w:r>
              <w:rPr>
                <w:rFonts w:ascii="宋体" w:hAnsi="宋体" w:cs="宋体"/>
                <w:kern w:val="0"/>
                <w:sz w:val="24"/>
              </w:rPr>
              <w:t>低浓度甲醛蒸气对眼、上呼吸道粘膜有强烈刺激作用，高浓度甲醛蒸气对中枢神经系统有毒性作用，可引起中毒性肺水肿。</w:t>
            </w:r>
          </w:p>
          <w:p>
            <w:pPr>
              <w:widowControl/>
              <w:spacing w:before="100" w:beforeAutospacing="1" w:after="100" w:afterAutospacing="1"/>
              <w:ind w:firstLine="480"/>
              <w:jc w:val="left"/>
              <w:rPr>
                <w:rFonts w:ascii="宋体" w:hAnsi="宋体" w:cs="宋体"/>
                <w:kern w:val="0"/>
                <w:sz w:val="24"/>
              </w:rPr>
            </w:pPr>
            <w:r>
              <w:rPr>
                <w:rFonts w:ascii="宋体" w:hAnsi="宋体" w:cs="宋体"/>
                <w:kern w:val="0"/>
                <w:sz w:val="24"/>
              </w:rPr>
              <w:t>主要症状：眼痛流泪、喉痒及胸闷、咳嗽、呼吸困难，口腔糜烂、上腹痛、吐血，眩晕、恐慌不安、步态不稳、甚至昏迷。皮肤接触可引起皮炎，有红斑、丘疹、瘙痒、组织坏死等。</w:t>
            </w:r>
          </w:p>
        </w:tc>
      </w:tr>
      <w:tr>
        <w:tblPrEx>
          <w:tblBorders>
            <w:top w:val="single" w:color="auto" w:sz="8" w:space="0"/>
            <w:left w:val="single" w:color="auto" w:sz="8" w:space="0"/>
            <w:bottom w:val="single" w:color="auto" w:sz="8" w:space="0"/>
            <w:right w:val="single" w:color="auto" w:sz="8" w:space="0"/>
            <w:insideH w:val="single" w:color="auto" w:sz="8" w:space="0"/>
            <w:insideV w:val="outset" w:color="F0F0F0" w:sz="6" w:space="0"/>
          </w:tblBorders>
          <w:tblCellMar>
            <w:top w:w="0" w:type="dxa"/>
            <w:left w:w="0" w:type="dxa"/>
            <w:bottom w:w="0" w:type="dxa"/>
            <w:right w:w="0" w:type="dxa"/>
          </w:tblCellMar>
        </w:tblPrEx>
        <w:trPr>
          <w:trHeight w:val="549" w:hRule="atLeast"/>
        </w:trPr>
        <w:tc>
          <w:tcPr>
            <w:tcW w:w="1634" w:type="dxa"/>
            <w:shd w:val="clear" w:color="auto" w:fill="auto"/>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p>
            <w:pPr>
              <w:widowControl/>
              <w:spacing w:before="100" w:beforeAutospacing="1" w:after="100" w:afterAutospacing="1"/>
              <w:jc w:val="center"/>
              <w:rPr>
                <w:rFonts w:ascii="宋体" w:hAnsi="宋体" w:cs="宋体"/>
                <w:kern w:val="0"/>
                <w:sz w:val="24"/>
              </w:rPr>
            </w:pPr>
            <w:r>
              <w:rPr>
                <w:rFonts w:ascii="宋体" w:hAnsi="宋体" w:cs="宋体"/>
                <w:kern w:val="0"/>
                <w:sz w:val="24"/>
              </w:rPr>
              <w:t>职业病危害</w:t>
            </w:r>
          </w:p>
          <w:p>
            <w:pPr>
              <w:widowControl/>
              <w:spacing w:before="100" w:beforeAutospacing="1" w:after="100" w:afterAutospacing="1"/>
              <w:jc w:val="center"/>
              <w:rPr>
                <w:rFonts w:ascii="宋体" w:hAnsi="宋体" w:cs="宋体"/>
                <w:kern w:val="0"/>
                <w:sz w:val="24"/>
              </w:rPr>
            </w:pPr>
            <w:r>
              <w:rPr>
                <w:rFonts w:ascii="宋体" w:hAnsi="宋体" w:cs="宋体"/>
                <w:kern w:val="0"/>
                <w:sz w:val="24"/>
              </w:rPr>
              <w:t>防护措施</w:t>
            </w:r>
          </w:p>
          <w:p>
            <w:pPr>
              <w:widowControl/>
              <w:spacing w:before="100" w:beforeAutospacing="1" w:after="100" w:afterAutospacing="1"/>
              <w:jc w:val="center"/>
              <w:rPr>
                <w:rFonts w:ascii="宋体" w:hAnsi="宋体" w:cs="宋体"/>
                <w:kern w:val="0"/>
                <w:sz w:val="24"/>
              </w:rPr>
            </w:pPr>
            <w:r>
              <w:rPr>
                <w:rFonts w:ascii="宋体" w:hAnsi="宋体" w:cs="宋体"/>
                <w:kern w:val="0"/>
                <w:sz w:val="24"/>
              </w:rPr>
              <w:t xml:space="preserve"> </w:t>
            </w:r>
          </w:p>
        </w:tc>
        <w:tc>
          <w:tcPr>
            <w:tcW w:w="7438" w:type="dxa"/>
            <w:shd w:val="clear" w:color="auto" w:fill="auto"/>
            <w:tcMar>
              <w:top w:w="0" w:type="dxa"/>
              <w:left w:w="108" w:type="dxa"/>
              <w:bottom w:w="0" w:type="dxa"/>
              <w:right w:w="108" w:type="dxa"/>
            </w:tcMar>
            <w:vAlign w:val="center"/>
          </w:tcPr>
          <w:p>
            <w:pPr>
              <w:widowControl/>
              <w:spacing w:before="100" w:beforeAutospacing="1" w:after="100" w:afterAutospacing="1"/>
              <w:ind w:firstLine="480"/>
              <w:jc w:val="left"/>
              <w:rPr>
                <w:rFonts w:ascii="宋体" w:hAnsi="宋体" w:cs="宋体"/>
                <w:kern w:val="0"/>
                <w:sz w:val="24"/>
              </w:rPr>
            </w:pPr>
            <w:r>
              <w:rPr>
                <w:rFonts w:ascii="宋体" w:hAnsi="宋体" w:cs="宋体"/>
                <w:kern w:val="0"/>
                <w:sz w:val="24"/>
              </w:rPr>
              <w:t>1．使用甲醛设备应密闭，不能密闭的应加强通风排毒。</w:t>
            </w:r>
          </w:p>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2．注意个人防护，穿戴防护用品。</w:t>
            </w:r>
          </w:p>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3．严格遵守安全操作规程。</w:t>
            </w:r>
          </w:p>
        </w:tc>
      </w:tr>
      <w:tr>
        <w:tblPrEx>
          <w:tblBorders>
            <w:top w:val="single" w:color="auto" w:sz="8" w:space="0"/>
            <w:left w:val="single" w:color="auto" w:sz="8" w:space="0"/>
            <w:bottom w:val="single" w:color="auto" w:sz="8" w:space="0"/>
            <w:right w:val="single" w:color="auto" w:sz="8" w:space="0"/>
            <w:insideH w:val="single" w:color="auto" w:sz="8" w:space="0"/>
            <w:insideV w:val="outset" w:color="F0F0F0" w:sz="6" w:space="0"/>
          </w:tblBorders>
          <w:tblCellMar>
            <w:top w:w="0" w:type="dxa"/>
            <w:left w:w="0" w:type="dxa"/>
            <w:bottom w:w="0" w:type="dxa"/>
            <w:right w:w="0" w:type="dxa"/>
          </w:tblCellMar>
        </w:tblPrEx>
        <w:trPr>
          <w:trHeight w:val="1360" w:hRule="atLeast"/>
        </w:trPr>
        <w:tc>
          <w:tcPr>
            <w:tcW w:w="1634" w:type="dxa"/>
            <w:shd w:val="clear" w:color="auto" w:fill="auto"/>
            <w:tcMar>
              <w:top w:w="0" w:type="dxa"/>
              <w:left w:w="108" w:type="dxa"/>
              <w:bottom w:w="0" w:type="dxa"/>
              <w:right w:w="108" w:type="dxa"/>
            </w:tcMar>
            <w:vAlign w:val="center"/>
          </w:tcPr>
          <w:p>
            <w:pPr>
              <w:widowControl/>
              <w:spacing w:before="100" w:beforeAutospacing="1" w:after="100" w:afterAutospacing="1"/>
              <w:jc w:val="center"/>
              <w:rPr>
                <w:rFonts w:ascii="宋体" w:hAnsi="宋体" w:cs="宋体"/>
                <w:kern w:val="0"/>
                <w:sz w:val="24"/>
              </w:rPr>
            </w:pPr>
            <w:r>
              <w:rPr>
                <w:rFonts w:ascii="宋体" w:hAnsi="宋体" w:cs="宋体"/>
                <w:kern w:val="0"/>
                <w:sz w:val="24"/>
              </w:rPr>
              <w:t>应急救治</w:t>
            </w:r>
          </w:p>
          <w:p>
            <w:pPr>
              <w:widowControl/>
              <w:spacing w:before="100" w:beforeAutospacing="1" w:after="100" w:afterAutospacing="1"/>
              <w:jc w:val="center"/>
              <w:rPr>
                <w:rFonts w:ascii="宋体" w:hAnsi="宋体" w:cs="宋体"/>
                <w:kern w:val="0"/>
                <w:sz w:val="24"/>
              </w:rPr>
            </w:pPr>
            <w:r>
              <w:rPr>
                <w:rFonts w:ascii="宋体" w:hAnsi="宋体" w:cs="宋体"/>
                <w:kern w:val="0"/>
                <w:sz w:val="24"/>
              </w:rPr>
              <w:t>措施</w:t>
            </w:r>
          </w:p>
        </w:tc>
        <w:tc>
          <w:tcPr>
            <w:tcW w:w="7438" w:type="dxa"/>
            <w:shd w:val="clear" w:color="auto" w:fill="auto"/>
            <w:tcMar>
              <w:top w:w="0" w:type="dxa"/>
              <w:left w:w="108" w:type="dxa"/>
              <w:bottom w:w="0" w:type="dxa"/>
              <w:right w:w="108" w:type="dxa"/>
            </w:tcMar>
            <w:vAlign w:val="center"/>
          </w:tcPr>
          <w:p>
            <w:pPr>
              <w:widowControl/>
              <w:spacing w:before="100" w:beforeAutospacing="1" w:after="100" w:afterAutospacing="1"/>
              <w:ind w:firstLine="480"/>
              <w:jc w:val="left"/>
              <w:rPr>
                <w:rFonts w:ascii="宋体" w:hAnsi="宋体" w:cs="宋体"/>
                <w:kern w:val="0"/>
                <w:sz w:val="24"/>
              </w:rPr>
            </w:pPr>
            <w:r>
              <w:rPr>
                <w:rFonts w:ascii="宋体" w:hAnsi="宋体" w:cs="宋体"/>
                <w:kern w:val="0"/>
                <w:sz w:val="24"/>
              </w:rPr>
              <w:t>1．撤离现场，移至新鲜空气处，吸氧。</w:t>
            </w:r>
          </w:p>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2．皮肤粘膜损伤，立即用2%的碳酸氢钠（NaHCO</w:t>
            </w:r>
            <w:r>
              <w:rPr>
                <w:rFonts w:ascii="宋体" w:hAnsi="宋体" w:cs="宋体"/>
                <w:kern w:val="0"/>
                <w:sz w:val="24"/>
                <w:vertAlign w:val="subscript"/>
              </w:rPr>
              <w:t>3</w:t>
            </w:r>
            <w:r>
              <w:rPr>
                <w:rFonts w:ascii="宋体" w:hAnsi="宋体" w:cs="宋体"/>
                <w:kern w:val="0"/>
                <w:sz w:val="24"/>
              </w:rPr>
              <w:t>）溶液或大量清水冲洗。</w:t>
            </w:r>
          </w:p>
          <w:p>
            <w:pPr>
              <w:widowControl/>
              <w:spacing w:before="100" w:beforeAutospacing="1" w:after="100" w:afterAutospacing="1"/>
              <w:jc w:val="left"/>
              <w:rPr>
                <w:rFonts w:ascii="宋体" w:hAnsi="宋体" w:cs="宋体"/>
                <w:kern w:val="0"/>
                <w:sz w:val="24"/>
              </w:rPr>
            </w:pPr>
            <w:r>
              <w:rPr>
                <w:rFonts w:ascii="宋体" w:hAnsi="宋体" w:cs="宋体"/>
                <w:kern w:val="0"/>
                <w:sz w:val="24"/>
              </w:rPr>
              <w:t xml:space="preserve">    3．立即与医疗急救单位联系抢救。</w:t>
            </w:r>
          </w:p>
        </w:tc>
      </w:tr>
    </w:tbl>
    <w:p>
      <w:pPr>
        <w:widowControl/>
        <w:jc w:val="left"/>
        <w:rPr>
          <w:rFonts w:hint="eastAsia" w:ascii="宋体" w:hAnsi="宋体" w:cs="宋体"/>
          <w:color w:val="000000"/>
          <w:kern w:val="0"/>
          <w:sz w:val="27"/>
          <w:szCs w:val="27"/>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783"/>
    <w:rsid w:val="00085B6B"/>
    <w:rsid w:val="001A1D99"/>
    <w:rsid w:val="002575E2"/>
    <w:rsid w:val="00412F4A"/>
    <w:rsid w:val="00701A05"/>
    <w:rsid w:val="00993C7D"/>
    <w:rsid w:val="00A16F5F"/>
    <w:rsid w:val="00D62B27"/>
    <w:rsid w:val="00D721DD"/>
    <w:rsid w:val="00E73783"/>
    <w:rsid w:val="6C33715C"/>
    <w:rsid w:val="72B70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989</Words>
  <Characters>5640</Characters>
  <Lines>47</Lines>
  <Paragraphs>13</Paragraphs>
  <TotalTime>72</TotalTime>
  <ScaleCrop>false</ScaleCrop>
  <LinksUpToDate>false</LinksUpToDate>
  <CharactersWithSpaces>6616</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2014-12-16T05:34:00Z</dcterms:created>
  <dc:creator>祁亚南</dc:creator>
  <cp:lastModifiedBy>葆柏</cp:lastModifiedBy>
  <dcterms:modified xsi:type="dcterms:W3CDTF">2021-02-22T03:46:30Z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